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FF" w:rsidRDefault="00B579FF" w:rsidP="00E0644F">
      <w:pPr>
        <w:spacing w:before="240" w:line="500" w:lineRule="exact"/>
        <w:rPr>
          <w:rFonts w:asciiTheme="majorEastAsia" w:eastAsiaTheme="majorEastAsia" w:hAnsiTheme="majorEastAsia"/>
          <w:spacing w:val="4"/>
          <w:sz w:val="72"/>
          <w:szCs w:val="72"/>
        </w:rPr>
      </w:pPr>
      <w:bookmarkStart w:id="0" w:name="_GoBack"/>
      <w:bookmarkEnd w:id="0"/>
    </w:p>
    <w:p w:rsidR="008E533C" w:rsidRDefault="00C84770" w:rsidP="008E533C">
      <w:pPr>
        <w:spacing w:before="240" w:line="500" w:lineRule="exact"/>
        <w:jc w:val="center"/>
        <w:rPr>
          <w:rFonts w:asciiTheme="majorEastAsia" w:eastAsiaTheme="majorEastAsia" w:hAnsiTheme="majorEastAsia"/>
          <w:spacing w:val="4"/>
          <w:sz w:val="72"/>
          <w:szCs w:val="72"/>
        </w:rPr>
      </w:pPr>
      <w:r>
        <w:rPr>
          <w:rFonts w:asciiTheme="majorEastAsia" w:eastAsiaTheme="majorEastAsia" w:hAnsiTheme="majorEastAsia"/>
          <w:spacing w:val="4"/>
          <w:sz w:val="72"/>
          <w:szCs w:val="72"/>
        </w:rPr>
        <w:t>海口市</w:t>
      </w:r>
      <w:r w:rsidR="00E56F97">
        <w:rPr>
          <w:rFonts w:asciiTheme="majorEastAsia" w:eastAsiaTheme="majorEastAsia" w:hAnsiTheme="majorEastAsia" w:hint="eastAsia"/>
          <w:spacing w:val="4"/>
          <w:sz w:val="72"/>
          <w:szCs w:val="72"/>
        </w:rPr>
        <w:t>国土资源信息化建</w:t>
      </w:r>
    </w:p>
    <w:p w:rsidR="00B579FF" w:rsidRDefault="00E56F97" w:rsidP="008E533C">
      <w:pPr>
        <w:spacing w:before="240" w:line="500" w:lineRule="exact"/>
        <w:jc w:val="center"/>
        <w:rPr>
          <w:rFonts w:asciiTheme="majorEastAsia" w:eastAsiaTheme="majorEastAsia" w:hAnsiTheme="majorEastAsia"/>
          <w:spacing w:val="4"/>
          <w:sz w:val="72"/>
          <w:szCs w:val="72"/>
        </w:rPr>
      </w:pPr>
      <w:r>
        <w:rPr>
          <w:rFonts w:asciiTheme="majorEastAsia" w:eastAsiaTheme="majorEastAsia" w:hAnsiTheme="majorEastAsia" w:hint="eastAsia"/>
          <w:spacing w:val="4"/>
          <w:sz w:val="72"/>
          <w:szCs w:val="72"/>
        </w:rPr>
        <w:t>设与宣教管理中心</w:t>
      </w:r>
    </w:p>
    <w:p w:rsidR="00B579FF" w:rsidRPr="00E56F97" w:rsidRDefault="00B579FF">
      <w:pPr>
        <w:spacing w:before="240" w:line="500" w:lineRule="exact"/>
        <w:rPr>
          <w:rFonts w:asciiTheme="majorEastAsia" w:eastAsiaTheme="majorEastAsia" w:hAnsiTheme="majorEastAsia"/>
          <w:b/>
          <w:sz w:val="44"/>
          <w:szCs w:val="44"/>
        </w:rPr>
      </w:pPr>
    </w:p>
    <w:p w:rsidR="00B579FF" w:rsidRDefault="00B579FF">
      <w:pPr>
        <w:spacing w:before="240" w:line="500" w:lineRule="exact"/>
        <w:jc w:val="center"/>
        <w:rPr>
          <w:rFonts w:asciiTheme="majorEastAsia" w:eastAsiaTheme="majorEastAsia" w:hAnsiTheme="majorEastAsia"/>
          <w:b/>
          <w:sz w:val="44"/>
          <w:szCs w:val="44"/>
        </w:rPr>
      </w:pPr>
    </w:p>
    <w:p w:rsidR="00B579FF" w:rsidRDefault="00B579FF">
      <w:pPr>
        <w:spacing w:before="240" w:line="500" w:lineRule="exact"/>
        <w:jc w:val="center"/>
        <w:rPr>
          <w:rFonts w:asciiTheme="majorEastAsia" w:eastAsiaTheme="majorEastAsia" w:hAnsiTheme="majorEastAsia"/>
          <w:b/>
          <w:sz w:val="44"/>
          <w:szCs w:val="44"/>
        </w:rPr>
      </w:pPr>
    </w:p>
    <w:p w:rsidR="00B579FF" w:rsidRDefault="00B579FF">
      <w:pPr>
        <w:spacing w:before="240" w:line="500" w:lineRule="exact"/>
        <w:jc w:val="center"/>
        <w:rPr>
          <w:rFonts w:asciiTheme="majorEastAsia" w:eastAsiaTheme="majorEastAsia" w:hAnsiTheme="majorEastAsia"/>
          <w:b/>
          <w:sz w:val="44"/>
          <w:szCs w:val="44"/>
        </w:rPr>
      </w:pPr>
    </w:p>
    <w:p w:rsidR="00B579FF" w:rsidRDefault="00B579FF">
      <w:pPr>
        <w:spacing w:before="240" w:line="500" w:lineRule="exact"/>
        <w:jc w:val="center"/>
        <w:rPr>
          <w:rFonts w:asciiTheme="majorEastAsia" w:eastAsiaTheme="majorEastAsia" w:hAnsiTheme="majorEastAsia"/>
          <w:b/>
          <w:sz w:val="44"/>
          <w:szCs w:val="44"/>
        </w:rPr>
      </w:pPr>
    </w:p>
    <w:p w:rsidR="00B579FF" w:rsidRDefault="00C84770">
      <w:pPr>
        <w:spacing w:before="240" w:line="5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网络信息安全保障服务项目</w:t>
      </w:r>
    </w:p>
    <w:p w:rsidR="00B579FF" w:rsidRDefault="00C84770">
      <w:pPr>
        <w:spacing w:before="240" w:line="5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需求文件</w:t>
      </w:r>
    </w:p>
    <w:p w:rsidR="00B579FF" w:rsidRDefault="00B579FF">
      <w:pPr>
        <w:spacing w:before="240" w:line="500" w:lineRule="exact"/>
        <w:jc w:val="center"/>
        <w:rPr>
          <w:rFonts w:asciiTheme="majorEastAsia" w:eastAsiaTheme="majorEastAsia" w:hAnsiTheme="majorEastAsia"/>
          <w:sz w:val="48"/>
        </w:rPr>
      </w:pPr>
    </w:p>
    <w:p w:rsidR="00B579FF" w:rsidRDefault="00B579FF">
      <w:pPr>
        <w:spacing w:before="240" w:line="500" w:lineRule="exact"/>
        <w:jc w:val="center"/>
        <w:rPr>
          <w:rFonts w:asciiTheme="majorEastAsia" w:eastAsiaTheme="majorEastAsia" w:hAnsiTheme="majorEastAsia"/>
          <w:sz w:val="72"/>
        </w:rPr>
      </w:pPr>
    </w:p>
    <w:p w:rsidR="00B579FF" w:rsidRDefault="00B579FF">
      <w:pPr>
        <w:spacing w:before="240" w:line="500" w:lineRule="exact"/>
        <w:jc w:val="center"/>
        <w:rPr>
          <w:rFonts w:asciiTheme="majorEastAsia" w:eastAsiaTheme="majorEastAsia" w:hAnsiTheme="majorEastAsia"/>
          <w:sz w:val="72"/>
        </w:rPr>
      </w:pPr>
    </w:p>
    <w:p w:rsidR="00B579FF" w:rsidRDefault="00B579FF">
      <w:pPr>
        <w:spacing w:before="240" w:line="500" w:lineRule="exact"/>
        <w:jc w:val="center"/>
        <w:rPr>
          <w:rFonts w:asciiTheme="majorEastAsia" w:eastAsiaTheme="majorEastAsia" w:hAnsiTheme="majorEastAsia"/>
          <w:sz w:val="72"/>
        </w:rPr>
      </w:pPr>
    </w:p>
    <w:p w:rsidR="00B579FF" w:rsidRDefault="00B579FF">
      <w:pPr>
        <w:spacing w:line="400" w:lineRule="exact"/>
        <w:jc w:val="center"/>
        <w:rPr>
          <w:rFonts w:eastAsia="黑体"/>
          <w:sz w:val="52"/>
        </w:rPr>
      </w:pPr>
    </w:p>
    <w:p w:rsidR="00B579FF" w:rsidRDefault="00B579FF">
      <w:pPr>
        <w:spacing w:line="400" w:lineRule="exact"/>
        <w:jc w:val="center"/>
        <w:rPr>
          <w:rFonts w:eastAsia="黑体"/>
          <w:sz w:val="52"/>
        </w:rPr>
      </w:pPr>
    </w:p>
    <w:p w:rsidR="00B579FF" w:rsidRDefault="00B579FF">
      <w:pPr>
        <w:spacing w:line="400" w:lineRule="exact"/>
        <w:jc w:val="center"/>
        <w:rPr>
          <w:rFonts w:eastAsia="黑体"/>
          <w:sz w:val="36"/>
        </w:rPr>
      </w:pPr>
    </w:p>
    <w:p w:rsidR="00B579FF" w:rsidRDefault="00B579FF">
      <w:pPr>
        <w:spacing w:line="400" w:lineRule="exact"/>
        <w:jc w:val="center"/>
        <w:rPr>
          <w:rFonts w:eastAsia="黑体"/>
          <w:sz w:val="36"/>
        </w:rPr>
      </w:pPr>
    </w:p>
    <w:p w:rsidR="00B579FF" w:rsidRDefault="00B579FF">
      <w:pPr>
        <w:spacing w:line="400" w:lineRule="exact"/>
        <w:jc w:val="center"/>
        <w:rPr>
          <w:rFonts w:eastAsia="黑体"/>
          <w:sz w:val="30"/>
        </w:rPr>
      </w:pPr>
    </w:p>
    <w:p w:rsidR="00B579FF" w:rsidRDefault="00B579FF">
      <w:pPr>
        <w:spacing w:line="400" w:lineRule="exact"/>
        <w:jc w:val="center"/>
        <w:rPr>
          <w:rFonts w:eastAsia="黑体"/>
          <w:sz w:val="30"/>
        </w:rPr>
      </w:pPr>
    </w:p>
    <w:p w:rsidR="00B579FF" w:rsidRDefault="00B579FF">
      <w:pPr>
        <w:spacing w:line="400" w:lineRule="exact"/>
        <w:rPr>
          <w:rFonts w:ascii="黑体" w:eastAsia="黑体"/>
          <w:sz w:val="30"/>
        </w:rPr>
      </w:pPr>
    </w:p>
    <w:p w:rsidR="00B579FF" w:rsidRDefault="00C84770">
      <w:pPr>
        <w:spacing w:line="400" w:lineRule="exact"/>
        <w:jc w:val="center"/>
        <w:rPr>
          <w:rFonts w:ascii="黑体" w:eastAsia="黑体"/>
          <w:sz w:val="36"/>
        </w:rPr>
      </w:pPr>
      <w:r>
        <w:rPr>
          <w:rFonts w:ascii="黑体" w:eastAsia="黑体" w:hint="eastAsia"/>
          <w:sz w:val="30"/>
        </w:rPr>
        <w:t>日期：</w:t>
      </w:r>
      <w:r>
        <w:rPr>
          <w:rFonts w:ascii="黑体" w:eastAsia="黑体" w:hint="eastAsia"/>
          <w:sz w:val="30"/>
          <w:u w:val="single"/>
        </w:rPr>
        <w:t xml:space="preserve"> 202</w:t>
      </w:r>
      <w:r w:rsidR="00B525F1">
        <w:rPr>
          <w:rFonts w:ascii="黑体" w:eastAsia="黑体" w:hint="eastAsia"/>
          <w:sz w:val="30"/>
          <w:u w:val="single"/>
        </w:rPr>
        <w:t>2</w:t>
      </w:r>
      <w:r>
        <w:rPr>
          <w:rFonts w:ascii="黑体" w:eastAsia="黑体" w:hint="eastAsia"/>
          <w:sz w:val="30"/>
        </w:rPr>
        <w:t>年</w:t>
      </w:r>
      <w:r w:rsidR="00683999">
        <w:rPr>
          <w:rFonts w:ascii="黑体" w:eastAsia="黑体" w:hint="eastAsia"/>
          <w:sz w:val="30"/>
          <w:u w:val="single"/>
        </w:rPr>
        <w:t>11</w:t>
      </w:r>
      <w:r>
        <w:rPr>
          <w:rFonts w:ascii="黑体" w:eastAsia="黑体" w:hint="eastAsia"/>
          <w:sz w:val="30"/>
        </w:rPr>
        <w:t>月</w:t>
      </w:r>
      <w:r w:rsidR="00683999">
        <w:rPr>
          <w:rFonts w:ascii="黑体" w:eastAsia="黑体" w:hint="eastAsia"/>
          <w:sz w:val="30"/>
          <w:u w:val="single"/>
        </w:rPr>
        <w:t>15</w:t>
      </w:r>
      <w:r>
        <w:rPr>
          <w:rFonts w:ascii="黑体" w:eastAsia="黑体" w:hint="eastAsia"/>
          <w:sz w:val="30"/>
        </w:rPr>
        <w:t>日</w:t>
      </w:r>
    </w:p>
    <w:p w:rsidR="00B579FF" w:rsidRDefault="00C84770">
      <w:pPr>
        <w:spacing w:line="360" w:lineRule="auto"/>
        <w:jc w:val="center"/>
        <w:rPr>
          <w:rFonts w:ascii="宋体" w:hAnsi="宋体"/>
        </w:rPr>
      </w:pPr>
      <w:r>
        <w:rPr>
          <w:rFonts w:ascii="黑体" w:eastAsia="黑体" w:hint="eastAsia"/>
          <w:sz w:val="32"/>
          <w:szCs w:val="32"/>
        </w:rPr>
        <w:br w:type="page"/>
      </w:r>
    </w:p>
    <w:p w:rsidR="00B579FF" w:rsidRDefault="00C84770">
      <w:pPr>
        <w:spacing w:line="360" w:lineRule="auto"/>
        <w:jc w:val="center"/>
        <w:rPr>
          <w:rFonts w:ascii="宋体" w:hAnsi="宋体" w:cs="宋体"/>
          <w:b/>
          <w:bCs/>
          <w:sz w:val="44"/>
          <w:szCs w:val="44"/>
        </w:rPr>
      </w:pPr>
      <w:r>
        <w:rPr>
          <w:rFonts w:ascii="宋体" w:hAnsi="宋体" w:cs="宋体" w:hint="eastAsia"/>
          <w:b/>
          <w:bCs/>
          <w:sz w:val="44"/>
          <w:szCs w:val="44"/>
        </w:rPr>
        <w:lastRenderedPageBreak/>
        <w:t>用 户 需 求 书</w:t>
      </w:r>
    </w:p>
    <w:p w:rsidR="00B579FF" w:rsidRDefault="00C84770">
      <w:pPr>
        <w:spacing w:line="360" w:lineRule="auto"/>
        <w:rPr>
          <w:rFonts w:ascii="宋体" w:hAnsi="宋体"/>
          <w:bCs/>
          <w:sz w:val="28"/>
          <w:szCs w:val="28"/>
        </w:rPr>
      </w:pPr>
      <w:r>
        <w:rPr>
          <w:rFonts w:ascii="宋体" w:hAnsi="宋体" w:hint="eastAsia"/>
          <w:bCs/>
          <w:sz w:val="28"/>
          <w:szCs w:val="28"/>
        </w:rPr>
        <w:t>一、服务时间：一年</w:t>
      </w:r>
    </w:p>
    <w:p w:rsidR="00B579FF" w:rsidRDefault="00C84770">
      <w:pPr>
        <w:spacing w:line="360" w:lineRule="auto"/>
        <w:rPr>
          <w:rFonts w:ascii="宋体" w:hAnsi="宋体"/>
          <w:bCs/>
          <w:sz w:val="28"/>
          <w:szCs w:val="28"/>
        </w:rPr>
      </w:pPr>
      <w:r>
        <w:rPr>
          <w:rFonts w:ascii="宋体" w:hAnsi="宋体" w:hint="eastAsia"/>
          <w:bCs/>
          <w:sz w:val="28"/>
          <w:szCs w:val="28"/>
        </w:rPr>
        <w:t>二、服务地点：用户指定。</w:t>
      </w:r>
    </w:p>
    <w:p w:rsidR="00B579FF" w:rsidRDefault="00C84770">
      <w:pPr>
        <w:spacing w:line="360" w:lineRule="auto"/>
        <w:rPr>
          <w:rFonts w:ascii="宋体" w:hAnsi="宋体"/>
          <w:bCs/>
          <w:sz w:val="28"/>
          <w:szCs w:val="28"/>
        </w:rPr>
      </w:pPr>
      <w:r>
        <w:rPr>
          <w:rFonts w:ascii="宋体" w:hAnsi="宋体" w:hint="eastAsia"/>
          <w:bCs/>
          <w:sz w:val="28"/>
          <w:szCs w:val="28"/>
        </w:rPr>
        <w:t>三、</w:t>
      </w:r>
      <w:r>
        <w:rPr>
          <w:rFonts w:ascii="宋体" w:hAnsi="宋体" w:cs="Arial" w:hint="eastAsia"/>
          <w:sz w:val="28"/>
          <w:szCs w:val="28"/>
        </w:rPr>
        <w:t>本项目采购预算金额为22.7万元，超出采购预算金额（最高限价）的报价，按无效报价处理。</w:t>
      </w:r>
    </w:p>
    <w:p w:rsidR="00B579FF" w:rsidRDefault="00C84770">
      <w:pPr>
        <w:spacing w:line="360" w:lineRule="auto"/>
        <w:rPr>
          <w:rFonts w:ascii="宋体" w:hAnsi="宋体"/>
          <w:bCs/>
          <w:sz w:val="28"/>
          <w:szCs w:val="28"/>
        </w:rPr>
      </w:pPr>
      <w:r>
        <w:rPr>
          <w:rFonts w:ascii="宋体" w:hAnsi="宋体" w:hint="eastAsia"/>
          <w:bCs/>
          <w:sz w:val="28"/>
          <w:szCs w:val="28"/>
        </w:rPr>
        <w:t>四、付款条件：由双方协商</w:t>
      </w:r>
    </w:p>
    <w:p w:rsidR="00B579FF" w:rsidRDefault="00C84770">
      <w:pPr>
        <w:spacing w:line="360" w:lineRule="auto"/>
        <w:rPr>
          <w:rFonts w:ascii="宋体" w:hAnsi="宋体"/>
          <w:bCs/>
          <w:sz w:val="28"/>
          <w:szCs w:val="28"/>
        </w:rPr>
      </w:pPr>
      <w:r>
        <w:rPr>
          <w:rFonts w:ascii="宋体" w:hAnsi="宋体" w:hint="eastAsia"/>
          <w:bCs/>
          <w:sz w:val="28"/>
          <w:szCs w:val="28"/>
        </w:rPr>
        <w:t>五、项目实施要求</w:t>
      </w:r>
    </w:p>
    <w:p w:rsidR="00B579FF" w:rsidRDefault="00C84770">
      <w:pPr>
        <w:spacing w:line="360" w:lineRule="auto"/>
        <w:rPr>
          <w:rFonts w:ascii="宋体" w:hAnsi="宋体"/>
          <w:bCs/>
          <w:sz w:val="28"/>
          <w:szCs w:val="28"/>
        </w:rPr>
      </w:pPr>
      <w:r>
        <w:rPr>
          <w:rFonts w:ascii="宋体" w:hAnsi="宋体" w:hint="eastAsia"/>
          <w:bCs/>
          <w:sz w:val="28"/>
          <w:szCs w:val="28"/>
        </w:rPr>
        <w:t>1、项目实施过程中，投标人应遵循国家标准、行业标准。</w:t>
      </w:r>
    </w:p>
    <w:p w:rsidR="00B579FF" w:rsidRDefault="00C84770">
      <w:pPr>
        <w:spacing w:line="360" w:lineRule="auto"/>
        <w:rPr>
          <w:rFonts w:ascii="宋体" w:hAnsi="宋体"/>
          <w:bCs/>
          <w:sz w:val="28"/>
          <w:szCs w:val="28"/>
        </w:rPr>
      </w:pPr>
      <w:r>
        <w:rPr>
          <w:rFonts w:ascii="宋体" w:hAnsi="宋体" w:hint="eastAsia"/>
          <w:bCs/>
          <w:sz w:val="28"/>
          <w:szCs w:val="28"/>
        </w:rPr>
        <w:t>2、在项目实施中供应商须做到：</w:t>
      </w:r>
    </w:p>
    <w:p w:rsidR="00B579FF" w:rsidRDefault="00C84770">
      <w:pPr>
        <w:spacing w:line="360" w:lineRule="auto"/>
        <w:rPr>
          <w:rFonts w:ascii="宋体" w:hAnsi="宋体"/>
          <w:bCs/>
          <w:sz w:val="28"/>
          <w:szCs w:val="28"/>
        </w:rPr>
      </w:pPr>
      <w:r>
        <w:rPr>
          <w:rFonts w:ascii="宋体" w:hAnsi="宋体" w:hint="eastAsia"/>
          <w:bCs/>
          <w:sz w:val="28"/>
          <w:szCs w:val="28"/>
        </w:rPr>
        <w:t>(1)、提供完整的系统实施方案和项目实施管理办法；</w:t>
      </w:r>
    </w:p>
    <w:p w:rsidR="00B579FF" w:rsidRDefault="00C84770">
      <w:pPr>
        <w:spacing w:line="360" w:lineRule="auto"/>
        <w:rPr>
          <w:rFonts w:ascii="宋体" w:hAnsi="宋体"/>
          <w:bCs/>
          <w:sz w:val="28"/>
          <w:szCs w:val="28"/>
        </w:rPr>
      </w:pPr>
      <w:r>
        <w:rPr>
          <w:rFonts w:ascii="宋体" w:hAnsi="宋体" w:hint="eastAsia"/>
          <w:bCs/>
          <w:sz w:val="28"/>
          <w:szCs w:val="28"/>
        </w:rPr>
        <w:t>(2)、提供详细的项目实施方案和计划进度说明书；</w:t>
      </w:r>
    </w:p>
    <w:p w:rsidR="00B579FF" w:rsidRDefault="00C84770">
      <w:pPr>
        <w:spacing w:line="360" w:lineRule="auto"/>
        <w:rPr>
          <w:rFonts w:ascii="宋体" w:hAnsi="宋体"/>
          <w:bCs/>
          <w:sz w:val="28"/>
          <w:szCs w:val="28"/>
        </w:rPr>
      </w:pPr>
      <w:r>
        <w:rPr>
          <w:rFonts w:ascii="宋体" w:hAnsi="宋体" w:hint="eastAsia"/>
          <w:bCs/>
          <w:sz w:val="28"/>
          <w:szCs w:val="28"/>
        </w:rPr>
        <w:t>(3)、项目实施完成后提供可靠的后期技术服务工作；</w:t>
      </w:r>
    </w:p>
    <w:p w:rsidR="00B579FF" w:rsidRDefault="00C84770">
      <w:pPr>
        <w:spacing w:line="360" w:lineRule="auto"/>
        <w:rPr>
          <w:rFonts w:ascii="宋体" w:hAnsi="宋体"/>
          <w:bCs/>
          <w:sz w:val="28"/>
          <w:szCs w:val="28"/>
        </w:rPr>
      </w:pPr>
      <w:r>
        <w:rPr>
          <w:rFonts w:ascii="宋体" w:hAnsi="宋体" w:hint="eastAsia"/>
          <w:bCs/>
          <w:sz w:val="28"/>
          <w:szCs w:val="28"/>
        </w:rPr>
        <w:t>(4)、严格按照双方确定的计划进度保质保量完成工作；</w:t>
      </w:r>
    </w:p>
    <w:p w:rsidR="00B579FF" w:rsidRDefault="00C84770">
      <w:pPr>
        <w:spacing w:line="360" w:lineRule="auto"/>
        <w:rPr>
          <w:rFonts w:ascii="宋体" w:hAnsi="宋体"/>
          <w:bCs/>
          <w:sz w:val="28"/>
          <w:szCs w:val="28"/>
        </w:rPr>
      </w:pPr>
      <w:r>
        <w:rPr>
          <w:rFonts w:ascii="宋体" w:hAnsi="宋体" w:hint="eastAsia"/>
          <w:bCs/>
          <w:sz w:val="28"/>
          <w:szCs w:val="28"/>
        </w:rPr>
        <w:t>(5)、规范项目实施过程中的文档管理。</w:t>
      </w:r>
    </w:p>
    <w:p w:rsidR="00B579FF" w:rsidRDefault="00636F00">
      <w:pPr>
        <w:spacing w:line="360" w:lineRule="auto"/>
        <w:rPr>
          <w:rFonts w:ascii="宋体" w:hAnsi="宋体"/>
          <w:bCs/>
          <w:sz w:val="28"/>
          <w:szCs w:val="28"/>
        </w:rPr>
      </w:pPr>
      <w:r>
        <w:rPr>
          <w:rFonts w:ascii="宋体" w:hAnsi="宋体" w:hint="eastAsia"/>
          <w:bCs/>
          <w:sz w:val="28"/>
          <w:szCs w:val="28"/>
        </w:rPr>
        <w:t>六</w:t>
      </w:r>
      <w:r w:rsidR="00C84770">
        <w:rPr>
          <w:rFonts w:ascii="宋体" w:hAnsi="宋体" w:hint="eastAsia"/>
          <w:bCs/>
          <w:sz w:val="28"/>
          <w:szCs w:val="28"/>
        </w:rPr>
        <w:t>、验收要求：</w:t>
      </w:r>
    </w:p>
    <w:p w:rsidR="00B579FF" w:rsidRDefault="00C84770">
      <w:pPr>
        <w:spacing w:line="360" w:lineRule="auto"/>
        <w:rPr>
          <w:rFonts w:ascii="宋体" w:hAnsi="宋体"/>
          <w:bCs/>
          <w:sz w:val="28"/>
          <w:szCs w:val="28"/>
        </w:rPr>
      </w:pPr>
      <w:r>
        <w:rPr>
          <w:rFonts w:ascii="宋体" w:hAnsi="宋体" w:hint="eastAsia"/>
          <w:bCs/>
          <w:sz w:val="28"/>
          <w:szCs w:val="28"/>
        </w:rPr>
        <w:t>1、中标人必须提供给业主详细的项目验收方案。</w:t>
      </w:r>
    </w:p>
    <w:p w:rsidR="00B579FF" w:rsidRDefault="00C84770">
      <w:pPr>
        <w:spacing w:line="360" w:lineRule="auto"/>
        <w:rPr>
          <w:rFonts w:ascii="宋体" w:hAnsi="宋体"/>
          <w:bCs/>
          <w:sz w:val="28"/>
          <w:szCs w:val="28"/>
        </w:rPr>
      </w:pPr>
      <w:r>
        <w:rPr>
          <w:rFonts w:ascii="宋体" w:hAnsi="宋体" w:hint="eastAsia"/>
          <w:bCs/>
          <w:sz w:val="28"/>
          <w:szCs w:val="28"/>
        </w:rPr>
        <w:t>2、中标人必须书面通知业主所完成的工作和准备进行验收的项目种类及验收开始时间，此通知书需经业主认定后方可执行。</w:t>
      </w:r>
    </w:p>
    <w:p w:rsidR="00B579FF" w:rsidRDefault="00636F00">
      <w:pPr>
        <w:spacing w:line="360" w:lineRule="auto"/>
        <w:rPr>
          <w:rFonts w:ascii="宋体" w:hAnsi="宋体"/>
          <w:bCs/>
          <w:sz w:val="28"/>
          <w:szCs w:val="28"/>
        </w:rPr>
      </w:pPr>
      <w:r>
        <w:rPr>
          <w:rFonts w:ascii="宋体" w:hAnsi="宋体" w:hint="eastAsia"/>
          <w:bCs/>
          <w:sz w:val="28"/>
          <w:szCs w:val="28"/>
        </w:rPr>
        <w:t>七</w:t>
      </w:r>
      <w:r w:rsidR="00C84770">
        <w:rPr>
          <w:rFonts w:ascii="宋体" w:hAnsi="宋体" w:hint="eastAsia"/>
          <w:bCs/>
          <w:sz w:val="28"/>
          <w:szCs w:val="28"/>
        </w:rPr>
        <w:t>、验收标准</w:t>
      </w:r>
    </w:p>
    <w:p w:rsidR="00B579FF" w:rsidRDefault="00C84770">
      <w:pPr>
        <w:spacing w:line="360" w:lineRule="auto"/>
        <w:rPr>
          <w:rFonts w:ascii="宋体" w:hAnsi="宋体"/>
          <w:bCs/>
          <w:sz w:val="28"/>
          <w:szCs w:val="28"/>
        </w:rPr>
      </w:pPr>
      <w:r>
        <w:rPr>
          <w:rFonts w:ascii="宋体" w:hAnsi="宋体" w:hint="eastAsia"/>
          <w:bCs/>
          <w:sz w:val="28"/>
          <w:szCs w:val="28"/>
        </w:rPr>
        <w:t>1、标准化：项目验收</w:t>
      </w:r>
      <w:proofErr w:type="gramStart"/>
      <w:r>
        <w:rPr>
          <w:rFonts w:ascii="宋体" w:hAnsi="宋体" w:hint="eastAsia"/>
          <w:bCs/>
          <w:sz w:val="28"/>
          <w:szCs w:val="28"/>
        </w:rPr>
        <w:t>最</w:t>
      </w:r>
      <w:proofErr w:type="gramEnd"/>
      <w:r>
        <w:rPr>
          <w:rFonts w:ascii="宋体" w:hAnsi="宋体" w:hint="eastAsia"/>
          <w:bCs/>
          <w:sz w:val="28"/>
          <w:szCs w:val="28"/>
        </w:rPr>
        <w:t>关键的指标，应确保服务过程符合国家标准规范；</w:t>
      </w:r>
    </w:p>
    <w:p w:rsidR="00B579FF" w:rsidRDefault="00C84770">
      <w:pPr>
        <w:spacing w:line="360" w:lineRule="auto"/>
        <w:rPr>
          <w:rFonts w:ascii="宋体" w:hAnsi="宋体"/>
          <w:bCs/>
          <w:sz w:val="28"/>
          <w:szCs w:val="28"/>
        </w:rPr>
      </w:pPr>
      <w:r>
        <w:rPr>
          <w:rFonts w:ascii="宋体" w:hAnsi="宋体" w:hint="eastAsia"/>
          <w:bCs/>
          <w:sz w:val="28"/>
          <w:szCs w:val="28"/>
        </w:rPr>
        <w:t>2、系统稳定性：在服务过程中应确保软硬件环境的稳定性、运行正</w:t>
      </w:r>
      <w:r>
        <w:rPr>
          <w:rFonts w:ascii="宋体" w:hAnsi="宋体" w:hint="eastAsia"/>
          <w:bCs/>
          <w:sz w:val="28"/>
          <w:szCs w:val="28"/>
        </w:rPr>
        <w:lastRenderedPageBreak/>
        <w:t>常；</w:t>
      </w:r>
    </w:p>
    <w:p w:rsidR="00B579FF" w:rsidRDefault="00C84770">
      <w:pPr>
        <w:spacing w:line="360" w:lineRule="auto"/>
        <w:rPr>
          <w:rFonts w:ascii="宋体" w:hAnsi="宋体"/>
          <w:bCs/>
          <w:sz w:val="28"/>
          <w:szCs w:val="28"/>
        </w:rPr>
      </w:pPr>
      <w:r>
        <w:rPr>
          <w:rFonts w:ascii="宋体" w:hAnsi="宋体" w:hint="eastAsia"/>
          <w:bCs/>
          <w:sz w:val="28"/>
          <w:szCs w:val="28"/>
        </w:rPr>
        <w:t>3、系统文档：验收文档是否齐全、规范、准确、详细；系统可操作性：交付成果清晰、通俗易懂。</w:t>
      </w:r>
    </w:p>
    <w:p w:rsidR="00B579FF" w:rsidRDefault="00636F00">
      <w:pPr>
        <w:spacing w:line="360" w:lineRule="auto"/>
        <w:rPr>
          <w:rFonts w:ascii="宋体" w:hAnsi="宋体"/>
          <w:bCs/>
          <w:sz w:val="28"/>
          <w:szCs w:val="28"/>
        </w:rPr>
      </w:pPr>
      <w:r>
        <w:rPr>
          <w:rFonts w:ascii="宋体" w:hAnsi="宋体" w:hint="eastAsia"/>
          <w:bCs/>
          <w:sz w:val="28"/>
          <w:szCs w:val="28"/>
        </w:rPr>
        <w:t>八</w:t>
      </w:r>
      <w:r w:rsidR="00C84770">
        <w:rPr>
          <w:rFonts w:ascii="宋体" w:hAnsi="宋体" w:hint="eastAsia"/>
          <w:bCs/>
          <w:sz w:val="28"/>
          <w:szCs w:val="28"/>
        </w:rPr>
        <w:t>、验收交付物</w:t>
      </w:r>
    </w:p>
    <w:p w:rsidR="00B579FF" w:rsidRDefault="00C84770">
      <w:pPr>
        <w:spacing w:line="360" w:lineRule="auto"/>
        <w:rPr>
          <w:rFonts w:ascii="宋体" w:hAnsi="宋体"/>
          <w:bCs/>
          <w:sz w:val="28"/>
          <w:szCs w:val="28"/>
        </w:rPr>
      </w:pPr>
      <w:r>
        <w:rPr>
          <w:rFonts w:ascii="宋体" w:hAnsi="宋体" w:hint="eastAsia"/>
          <w:bCs/>
          <w:sz w:val="28"/>
          <w:szCs w:val="28"/>
        </w:rPr>
        <w:t>1、提交《漏洞扫描分析/处置报告》；</w:t>
      </w:r>
    </w:p>
    <w:p w:rsidR="00B579FF" w:rsidRDefault="00C84770">
      <w:pPr>
        <w:spacing w:line="360" w:lineRule="auto"/>
        <w:rPr>
          <w:rFonts w:ascii="宋体" w:hAnsi="宋体"/>
          <w:bCs/>
          <w:sz w:val="28"/>
          <w:szCs w:val="28"/>
        </w:rPr>
      </w:pPr>
      <w:r>
        <w:rPr>
          <w:rFonts w:ascii="宋体" w:hAnsi="宋体"/>
          <w:bCs/>
          <w:sz w:val="28"/>
          <w:szCs w:val="28"/>
        </w:rPr>
        <w:t>2</w:t>
      </w:r>
      <w:r>
        <w:rPr>
          <w:rFonts w:ascii="宋体" w:hAnsi="宋体" w:hint="eastAsia"/>
          <w:bCs/>
          <w:sz w:val="28"/>
          <w:szCs w:val="28"/>
        </w:rPr>
        <w:t>、提交《网站云监测服务报告》；</w:t>
      </w:r>
    </w:p>
    <w:p w:rsidR="00B579FF" w:rsidRDefault="00C84770">
      <w:pPr>
        <w:spacing w:line="360" w:lineRule="auto"/>
        <w:rPr>
          <w:rFonts w:ascii="宋体" w:hAnsi="宋体"/>
          <w:bCs/>
          <w:sz w:val="28"/>
          <w:szCs w:val="28"/>
        </w:rPr>
      </w:pPr>
      <w:r>
        <w:rPr>
          <w:rFonts w:ascii="宋体" w:hAnsi="宋体"/>
          <w:bCs/>
          <w:sz w:val="28"/>
          <w:szCs w:val="28"/>
        </w:rPr>
        <w:t>3</w:t>
      </w:r>
      <w:r>
        <w:rPr>
          <w:rFonts w:ascii="宋体" w:hAnsi="宋体" w:hint="eastAsia"/>
          <w:bCs/>
          <w:sz w:val="28"/>
          <w:szCs w:val="28"/>
        </w:rPr>
        <w:t>、提交《应急响应报告》；</w:t>
      </w:r>
    </w:p>
    <w:p w:rsidR="00B579FF" w:rsidRDefault="00C84770">
      <w:pPr>
        <w:spacing w:line="360" w:lineRule="auto"/>
        <w:rPr>
          <w:rFonts w:ascii="宋体" w:hAnsi="宋体"/>
          <w:bCs/>
          <w:sz w:val="28"/>
          <w:szCs w:val="28"/>
        </w:rPr>
      </w:pPr>
      <w:r>
        <w:rPr>
          <w:rFonts w:ascii="宋体" w:hAnsi="宋体"/>
          <w:bCs/>
          <w:sz w:val="28"/>
          <w:szCs w:val="28"/>
        </w:rPr>
        <w:t>4</w:t>
      </w:r>
      <w:r>
        <w:rPr>
          <w:rFonts w:ascii="宋体" w:hAnsi="宋体" w:hint="eastAsia"/>
          <w:bCs/>
          <w:sz w:val="28"/>
          <w:szCs w:val="28"/>
        </w:rPr>
        <w:t>、提交《整改加固措施》《漏洞扫描分析/处置报告》</w:t>
      </w:r>
    </w:p>
    <w:p w:rsidR="00B579FF" w:rsidRDefault="00C84770">
      <w:pPr>
        <w:spacing w:line="360" w:lineRule="auto"/>
        <w:rPr>
          <w:rFonts w:ascii="宋体" w:hAnsi="宋体"/>
          <w:bCs/>
          <w:sz w:val="28"/>
          <w:szCs w:val="28"/>
        </w:rPr>
      </w:pPr>
      <w:r>
        <w:rPr>
          <w:rFonts w:ascii="宋体" w:hAnsi="宋体"/>
          <w:bCs/>
          <w:sz w:val="28"/>
          <w:szCs w:val="28"/>
        </w:rPr>
        <w:t>5</w:t>
      </w:r>
      <w:r>
        <w:rPr>
          <w:rFonts w:ascii="宋体" w:hAnsi="宋体" w:hint="eastAsia"/>
          <w:bCs/>
          <w:sz w:val="28"/>
          <w:szCs w:val="28"/>
        </w:rPr>
        <w:t>、《渗透测试报告》、《渗透测试复测报告》</w:t>
      </w:r>
    </w:p>
    <w:p w:rsidR="00B579FF" w:rsidRDefault="00C84770">
      <w:pPr>
        <w:spacing w:line="360" w:lineRule="auto"/>
        <w:rPr>
          <w:rFonts w:ascii="宋体" w:hAnsi="宋体"/>
          <w:bCs/>
          <w:sz w:val="28"/>
          <w:szCs w:val="28"/>
        </w:rPr>
      </w:pPr>
      <w:r>
        <w:rPr>
          <w:rFonts w:ascii="宋体" w:hAnsi="宋体" w:hint="eastAsia"/>
          <w:bCs/>
          <w:sz w:val="28"/>
          <w:szCs w:val="28"/>
        </w:rPr>
        <w:t>6、提交《安全巡检报告》；</w:t>
      </w:r>
    </w:p>
    <w:p w:rsidR="00B579FF" w:rsidRDefault="00C84770">
      <w:pPr>
        <w:spacing w:line="360" w:lineRule="auto"/>
        <w:rPr>
          <w:rFonts w:ascii="宋体" w:hAnsi="宋体"/>
          <w:bCs/>
          <w:sz w:val="28"/>
          <w:szCs w:val="28"/>
        </w:rPr>
      </w:pPr>
      <w:r>
        <w:rPr>
          <w:rFonts w:ascii="宋体" w:hAnsi="宋体"/>
          <w:bCs/>
          <w:sz w:val="28"/>
          <w:szCs w:val="28"/>
        </w:rPr>
        <w:t>7</w:t>
      </w:r>
      <w:r>
        <w:rPr>
          <w:rFonts w:ascii="宋体" w:hAnsi="宋体" w:hint="eastAsia"/>
          <w:bCs/>
          <w:sz w:val="28"/>
          <w:szCs w:val="28"/>
        </w:rPr>
        <w:t>、《安全保障服务日报》、《安全保障服务月报》</w:t>
      </w:r>
    </w:p>
    <w:p w:rsidR="00B579FF" w:rsidRDefault="00636F00">
      <w:pPr>
        <w:spacing w:line="360" w:lineRule="auto"/>
        <w:rPr>
          <w:rFonts w:ascii="宋体" w:hAnsi="宋体"/>
          <w:bCs/>
          <w:sz w:val="28"/>
          <w:szCs w:val="28"/>
        </w:rPr>
      </w:pPr>
      <w:r>
        <w:rPr>
          <w:rFonts w:ascii="宋体" w:hAnsi="宋体" w:hint="eastAsia"/>
          <w:bCs/>
          <w:sz w:val="28"/>
          <w:szCs w:val="28"/>
        </w:rPr>
        <w:t>九</w:t>
      </w:r>
      <w:r w:rsidR="00C84770">
        <w:rPr>
          <w:rFonts w:ascii="宋体" w:hAnsi="宋体" w:hint="eastAsia"/>
          <w:bCs/>
          <w:sz w:val="28"/>
          <w:szCs w:val="28"/>
        </w:rPr>
        <w:t>、其他要求</w:t>
      </w:r>
    </w:p>
    <w:p w:rsidR="00B579FF" w:rsidRDefault="00C84770">
      <w:pPr>
        <w:spacing w:line="360" w:lineRule="auto"/>
        <w:rPr>
          <w:rFonts w:ascii="宋体" w:hAnsi="宋体"/>
          <w:bCs/>
          <w:sz w:val="28"/>
          <w:szCs w:val="28"/>
        </w:rPr>
      </w:pPr>
      <w:r>
        <w:rPr>
          <w:rFonts w:ascii="宋体" w:hAnsi="宋体" w:hint="eastAsia"/>
          <w:bCs/>
          <w:sz w:val="28"/>
          <w:szCs w:val="28"/>
        </w:rPr>
        <w:t>成交人要保持同采购人的密切联系，遇有重大事项及时报告和反馈信息，尊重采购单位的意见，接受采购单位的提议、监督和指导。</w:t>
      </w:r>
    </w:p>
    <w:p w:rsidR="00B579FF" w:rsidRDefault="00636F00">
      <w:pPr>
        <w:spacing w:line="360" w:lineRule="auto"/>
        <w:rPr>
          <w:rFonts w:ascii="宋体" w:hAnsi="宋体"/>
          <w:bCs/>
          <w:sz w:val="28"/>
          <w:szCs w:val="28"/>
        </w:rPr>
      </w:pPr>
      <w:r>
        <w:rPr>
          <w:rFonts w:ascii="宋体" w:hAnsi="宋体" w:hint="eastAsia"/>
          <w:bCs/>
          <w:sz w:val="28"/>
          <w:szCs w:val="28"/>
        </w:rPr>
        <w:t>十</w:t>
      </w:r>
      <w:r w:rsidR="00C84770">
        <w:rPr>
          <w:rFonts w:ascii="宋体" w:hAnsi="宋体" w:hint="eastAsia"/>
          <w:bCs/>
          <w:sz w:val="28"/>
          <w:szCs w:val="28"/>
        </w:rPr>
        <w:t>、服务内容需求：</w:t>
      </w:r>
    </w:p>
    <w:p w:rsidR="00B579FF" w:rsidRDefault="00C84770">
      <w:r>
        <w:rPr>
          <w:rFonts w:ascii="宋体" w:hAnsi="宋体" w:cs="宋体" w:hint="eastAsia"/>
          <w:kern w:val="28"/>
          <w:sz w:val="28"/>
          <w:szCs w:val="28"/>
        </w:rPr>
        <w:t>为保障我单位信息系统的安全运行，加强人防、技防措施，严防错漏。需借助专业公司、专业技术服务力量，及时发现并处置信息系统突发安全事</w:t>
      </w:r>
      <w:r>
        <w:rPr>
          <w:rFonts w:ascii="宋体" w:hAnsi="宋体" w:hint="eastAsia"/>
          <w:bCs/>
          <w:sz w:val="28"/>
          <w:szCs w:val="28"/>
        </w:rPr>
        <w:t>件，定期开展技术性安全检查工作，安全服务需求内容如下：</w:t>
      </w:r>
    </w:p>
    <w:p w:rsidR="00B579FF" w:rsidRDefault="00B579FF">
      <w:pPr>
        <w:spacing w:line="360" w:lineRule="auto"/>
        <w:jc w:val="left"/>
        <w:rPr>
          <w:rFonts w:ascii="宋体" w:hAnsi="宋体"/>
          <w:bCs/>
          <w:sz w:val="28"/>
          <w:szCs w:val="28"/>
        </w:rPr>
      </w:pPr>
    </w:p>
    <w:p w:rsidR="00B579FF" w:rsidRDefault="00C84770">
      <w:pPr>
        <w:spacing w:line="360" w:lineRule="auto"/>
        <w:rPr>
          <w:rFonts w:ascii="宋体" w:hAnsi="宋体"/>
          <w:b/>
          <w:kern w:val="0"/>
        </w:rPr>
      </w:pPr>
      <w:r>
        <w:rPr>
          <w:rFonts w:ascii="宋体" w:hAnsi="宋体" w:hint="eastAsia"/>
          <w:bCs/>
          <w:sz w:val="28"/>
          <w:szCs w:val="28"/>
        </w:rPr>
        <w:t>安全服务项目需求内容清单</w:t>
      </w:r>
    </w:p>
    <w:tbl>
      <w:tblPr>
        <w:tblStyle w:val="a7"/>
        <w:tblW w:w="9459" w:type="dxa"/>
        <w:tblLayout w:type="fixed"/>
        <w:tblLook w:val="04A0" w:firstRow="1" w:lastRow="0" w:firstColumn="1" w:lastColumn="0" w:noHBand="0" w:noVBand="1"/>
      </w:tblPr>
      <w:tblGrid>
        <w:gridCol w:w="994"/>
        <w:gridCol w:w="1706"/>
        <w:gridCol w:w="5218"/>
        <w:gridCol w:w="1541"/>
      </w:tblGrid>
      <w:tr w:rsidR="00B579FF">
        <w:tc>
          <w:tcPr>
            <w:tcW w:w="994" w:type="dxa"/>
            <w:vAlign w:val="center"/>
          </w:tcPr>
          <w:p w:rsidR="00B579FF" w:rsidRDefault="00C84770">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1706" w:type="dxa"/>
            <w:vAlign w:val="center"/>
          </w:tcPr>
          <w:p w:rsidR="00B579FF" w:rsidRDefault="00C8477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服务项目</w:t>
            </w:r>
          </w:p>
        </w:tc>
        <w:tc>
          <w:tcPr>
            <w:tcW w:w="5218" w:type="dxa"/>
            <w:vAlign w:val="center"/>
          </w:tcPr>
          <w:p w:rsidR="00B579FF" w:rsidRDefault="00C84770">
            <w:pPr>
              <w:widowControl/>
              <w:jc w:val="left"/>
              <w:rPr>
                <w:rFonts w:ascii="宋体" w:hAnsi="宋体" w:cs="宋体"/>
                <w:b/>
                <w:bCs/>
                <w:kern w:val="0"/>
                <w:sz w:val="18"/>
                <w:szCs w:val="18"/>
              </w:rPr>
            </w:pPr>
            <w:r>
              <w:rPr>
                <w:rFonts w:ascii="宋体" w:hAnsi="宋体" w:cs="宋体" w:hint="eastAsia"/>
                <w:b/>
                <w:bCs/>
                <w:kern w:val="0"/>
                <w:sz w:val="18"/>
                <w:szCs w:val="18"/>
              </w:rPr>
              <w:t>服务说明</w:t>
            </w:r>
          </w:p>
        </w:tc>
        <w:tc>
          <w:tcPr>
            <w:tcW w:w="1541" w:type="dxa"/>
          </w:tcPr>
          <w:p w:rsidR="00B579FF" w:rsidRDefault="00C84770">
            <w:r>
              <w:rPr>
                <w:rFonts w:hint="eastAsia"/>
              </w:rPr>
              <w:t>数量</w:t>
            </w:r>
          </w:p>
        </w:tc>
      </w:tr>
      <w:tr w:rsidR="00B579FF">
        <w:tc>
          <w:tcPr>
            <w:tcW w:w="994" w:type="dxa"/>
            <w:vAlign w:val="center"/>
          </w:tcPr>
          <w:p w:rsidR="00B579FF" w:rsidRDefault="00C84770">
            <w:pPr>
              <w:pStyle w:val="a6"/>
              <w:spacing w:beforeAutospacing="0" w:afterAutospacing="0"/>
              <w:jc w:val="center"/>
              <w:textAlignment w:val="center"/>
              <w:rPr>
                <w:rFonts w:ascii="宋体" w:hAnsi="宋体" w:cs="宋体"/>
                <w:b/>
                <w:bCs/>
                <w:sz w:val="18"/>
                <w:szCs w:val="18"/>
              </w:rPr>
            </w:pPr>
            <w:r>
              <w:rPr>
                <w:rFonts w:cs="宋体" w:hint="eastAsia"/>
                <w:color w:val="000000"/>
                <w:sz w:val="18"/>
                <w:szCs w:val="18"/>
              </w:rPr>
              <w:t>1</w:t>
            </w:r>
          </w:p>
        </w:tc>
        <w:tc>
          <w:tcPr>
            <w:tcW w:w="1706" w:type="dxa"/>
            <w:vAlign w:val="center"/>
          </w:tcPr>
          <w:p w:rsidR="00B579FF" w:rsidRDefault="00C84770">
            <w:pPr>
              <w:pStyle w:val="a6"/>
              <w:spacing w:beforeAutospacing="0" w:afterAutospacing="0"/>
              <w:jc w:val="center"/>
              <w:textAlignment w:val="top"/>
              <w:rPr>
                <w:rFonts w:ascii="宋体" w:hAnsi="宋体" w:cs="宋体"/>
                <w:b/>
                <w:bCs/>
                <w:color w:val="000000"/>
                <w:sz w:val="18"/>
                <w:szCs w:val="18"/>
              </w:rPr>
            </w:pPr>
            <w:r>
              <w:rPr>
                <w:rFonts w:cs="宋体" w:hint="eastAsia"/>
                <w:color w:val="000000"/>
                <w:sz w:val="18"/>
                <w:szCs w:val="18"/>
              </w:rPr>
              <w:t>安全漏洞扫描评估服务</w:t>
            </w:r>
          </w:p>
        </w:tc>
        <w:tc>
          <w:tcPr>
            <w:tcW w:w="5218" w:type="dxa"/>
          </w:tcPr>
          <w:p w:rsidR="00B579FF" w:rsidRDefault="00C84770">
            <w:pPr>
              <w:jc w:val="left"/>
              <w:rPr>
                <w:rFonts w:ascii="宋体" w:hAnsi="宋体" w:cs="宋体"/>
                <w:b/>
                <w:bCs/>
                <w:kern w:val="0"/>
                <w:sz w:val="18"/>
                <w:szCs w:val="18"/>
              </w:rPr>
            </w:pPr>
            <w:r>
              <w:rPr>
                <w:rFonts w:ascii="宋体" w:hAnsi="宋体" w:cs="宋体" w:hint="eastAsia"/>
                <w:color w:val="000000"/>
                <w:sz w:val="18"/>
                <w:szCs w:val="18"/>
              </w:rPr>
              <w:t>依据</w:t>
            </w:r>
            <w:proofErr w:type="gramStart"/>
            <w:r>
              <w:rPr>
                <w:rFonts w:ascii="宋体" w:hAnsi="宋体" w:cs="宋体" w:hint="eastAsia"/>
                <w:color w:val="000000"/>
                <w:sz w:val="18"/>
                <w:szCs w:val="18"/>
              </w:rPr>
              <w:t>等保标准</w:t>
            </w:r>
            <w:proofErr w:type="gramEnd"/>
            <w:r>
              <w:rPr>
                <w:rFonts w:ascii="宋体" w:hAnsi="宋体" w:cs="宋体" w:hint="eastAsia"/>
                <w:color w:val="000000"/>
                <w:sz w:val="18"/>
                <w:szCs w:val="18"/>
              </w:rPr>
              <w:t>及相关规范，采用多种安全专用评估工具对信息系统进行全面深度漏洞探测，对发现的漏洞提供手工验证以及提出改善建议，以及时掌握信息系统安全状况，为改善并提高信息系</w:t>
            </w:r>
            <w:r>
              <w:rPr>
                <w:rFonts w:ascii="宋体" w:hAnsi="宋体" w:cs="宋体" w:hint="eastAsia"/>
                <w:color w:val="000000"/>
                <w:sz w:val="18"/>
                <w:szCs w:val="18"/>
              </w:rPr>
              <w:lastRenderedPageBreak/>
              <w:t>统安全性提供依据；并提供详细的安全评估报告，包括扫描的漏洞详细信息、安全加固指导建议等，对所有漏洞弱点的相关背景提供详细描述、引用，以及相应的修复和改进建议。</w:t>
            </w:r>
          </w:p>
        </w:tc>
        <w:tc>
          <w:tcPr>
            <w:tcW w:w="1541" w:type="dxa"/>
          </w:tcPr>
          <w:p w:rsidR="00B579FF" w:rsidRDefault="00C84770">
            <w:r>
              <w:rPr>
                <w:rFonts w:hint="eastAsia"/>
              </w:rPr>
              <w:lastRenderedPageBreak/>
              <w:t>4</w:t>
            </w:r>
            <w:r>
              <w:rPr>
                <w:rFonts w:hint="eastAsia"/>
              </w:rPr>
              <w:t>次</w:t>
            </w:r>
            <w:r>
              <w:rPr>
                <w:rFonts w:hint="eastAsia"/>
              </w:rPr>
              <w:t>/</w:t>
            </w:r>
            <w:r>
              <w:rPr>
                <w:rFonts w:hint="eastAsia"/>
              </w:rPr>
              <w:t>年</w:t>
            </w:r>
          </w:p>
        </w:tc>
      </w:tr>
      <w:tr w:rsidR="00B579FF">
        <w:tc>
          <w:tcPr>
            <w:tcW w:w="994" w:type="dxa"/>
            <w:vAlign w:val="center"/>
          </w:tcPr>
          <w:p w:rsidR="00B579FF" w:rsidRDefault="00C84770">
            <w:pPr>
              <w:pStyle w:val="a6"/>
              <w:spacing w:beforeAutospacing="0" w:afterAutospacing="0"/>
              <w:jc w:val="center"/>
              <w:textAlignment w:val="center"/>
            </w:pPr>
            <w:r>
              <w:rPr>
                <w:rFonts w:cs="宋体"/>
                <w:color w:val="000000"/>
                <w:sz w:val="18"/>
                <w:szCs w:val="18"/>
              </w:rPr>
              <w:lastRenderedPageBreak/>
              <w:t>2</w:t>
            </w:r>
          </w:p>
        </w:tc>
        <w:tc>
          <w:tcPr>
            <w:tcW w:w="1706" w:type="dxa"/>
            <w:vAlign w:val="center"/>
          </w:tcPr>
          <w:p w:rsidR="00B579FF" w:rsidRDefault="00C84770">
            <w:pPr>
              <w:pStyle w:val="a6"/>
              <w:spacing w:beforeAutospacing="0" w:afterAutospacing="0"/>
              <w:jc w:val="center"/>
              <w:textAlignment w:val="center"/>
              <w:rPr>
                <w:color w:val="000000"/>
              </w:rPr>
            </w:pPr>
            <w:r>
              <w:rPr>
                <w:rFonts w:cs="宋体" w:hint="eastAsia"/>
                <w:color w:val="000000"/>
                <w:sz w:val="18"/>
                <w:szCs w:val="18"/>
              </w:rPr>
              <w:t>WEB</w:t>
            </w:r>
            <w:r>
              <w:rPr>
                <w:rFonts w:cs="宋体" w:hint="eastAsia"/>
                <w:color w:val="000000"/>
                <w:sz w:val="18"/>
                <w:szCs w:val="18"/>
              </w:rPr>
              <w:t>监测服务</w:t>
            </w:r>
          </w:p>
        </w:tc>
        <w:tc>
          <w:tcPr>
            <w:tcW w:w="5218" w:type="dxa"/>
          </w:tcPr>
          <w:p w:rsidR="00B579FF" w:rsidRDefault="00C84770">
            <w:pPr>
              <w:jc w:val="left"/>
            </w:pPr>
            <w:r>
              <w:rPr>
                <w:rFonts w:hint="eastAsia"/>
                <w:sz w:val="18"/>
                <w:szCs w:val="18"/>
              </w:rPr>
              <w:t>基础监测服务包，提供每月一次的漏洞扫描服务，同时提供</w:t>
            </w:r>
            <w:r>
              <w:rPr>
                <w:rFonts w:hint="eastAsia"/>
                <w:sz w:val="18"/>
                <w:szCs w:val="18"/>
              </w:rPr>
              <w:t>7*24</w:t>
            </w:r>
            <w:r>
              <w:rPr>
                <w:rFonts w:hint="eastAsia"/>
                <w:sz w:val="18"/>
                <w:szCs w:val="18"/>
              </w:rPr>
              <w:t>小时的远程事件值守服务，这其中包含全站的平稳度监测、</w:t>
            </w:r>
            <w:r>
              <w:rPr>
                <w:rFonts w:hint="eastAsia"/>
                <w:sz w:val="18"/>
                <w:szCs w:val="18"/>
              </w:rPr>
              <w:t>DNS</w:t>
            </w:r>
            <w:r>
              <w:rPr>
                <w:rFonts w:hint="eastAsia"/>
                <w:sz w:val="18"/>
                <w:szCs w:val="18"/>
              </w:rPr>
              <w:t>解析监测、站点首页的挂马、篡改、敏感内容监测服务</w:t>
            </w:r>
          </w:p>
        </w:tc>
        <w:tc>
          <w:tcPr>
            <w:tcW w:w="1541" w:type="dxa"/>
          </w:tcPr>
          <w:p w:rsidR="00B579FF" w:rsidRDefault="00C84770">
            <w:r>
              <w:rPr>
                <w:rFonts w:hint="eastAsia"/>
              </w:rPr>
              <w:t>1</w:t>
            </w:r>
            <w:r>
              <w:rPr>
                <w:rFonts w:hint="eastAsia"/>
              </w:rPr>
              <w:t>年</w:t>
            </w:r>
          </w:p>
        </w:tc>
      </w:tr>
      <w:tr w:rsidR="00B579FF">
        <w:trPr>
          <w:trHeight w:val="282"/>
        </w:trPr>
        <w:tc>
          <w:tcPr>
            <w:tcW w:w="994" w:type="dxa"/>
            <w:vAlign w:val="center"/>
          </w:tcPr>
          <w:p w:rsidR="00B579FF" w:rsidRPr="00F84F63" w:rsidRDefault="00C84770">
            <w:pPr>
              <w:pStyle w:val="a6"/>
              <w:spacing w:beforeAutospacing="0" w:afterAutospacing="0"/>
              <w:jc w:val="center"/>
              <w:textAlignment w:val="center"/>
              <w:rPr>
                <w:sz w:val="18"/>
                <w:szCs w:val="18"/>
              </w:rPr>
            </w:pPr>
            <w:r w:rsidRPr="00F84F63">
              <w:rPr>
                <w:sz w:val="18"/>
                <w:szCs w:val="18"/>
              </w:rPr>
              <w:t>3</w:t>
            </w:r>
          </w:p>
        </w:tc>
        <w:tc>
          <w:tcPr>
            <w:tcW w:w="1706" w:type="dxa"/>
            <w:vAlign w:val="center"/>
          </w:tcPr>
          <w:p w:rsidR="00B579FF" w:rsidRDefault="00C84770">
            <w:pPr>
              <w:pStyle w:val="a6"/>
              <w:spacing w:beforeAutospacing="0" w:afterAutospacing="0"/>
              <w:jc w:val="center"/>
              <w:textAlignment w:val="center"/>
              <w:rPr>
                <w:color w:val="000000"/>
              </w:rPr>
            </w:pPr>
            <w:r>
              <w:rPr>
                <w:rFonts w:cs="宋体" w:hint="eastAsia"/>
                <w:color w:val="000000"/>
                <w:sz w:val="18"/>
                <w:szCs w:val="18"/>
              </w:rPr>
              <w:t>应急响应服务</w:t>
            </w:r>
          </w:p>
        </w:tc>
        <w:tc>
          <w:tcPr>
            <w:tcW w:w="5218" w:type="dxa"/>
          </w:tcPr>
          <w:p w:rsidR="00B579FF" w:rsidRDefault="00C84770">
            <w:pPr>
              <w:jc w:val="left"/>
            </w:pPr>
            <w:r>
              <w:rPr>
                <w:rFonts w:ascii="宋体" w:hAnsi="宋体" w:cs="宋体" w:hint="eastAsia"/>
                <w:color w:val="000000"/>
                <w:sz w:val="18"/>
                <w:szCs w:val="18"/>
              </w:rPr>
              <w:t>根据等级保护相关要求，在信息系统（服务范围内）突发的重大安全事件时，针对设备日志与安全事件分析，协助以最快的时间进行故障排查定位和应急处理。</w:t>
            </w:r>
          </w:p>
        </w:tc>
        <w:tc>
          <w:tcPr>
            <w:tcW w:w="1541" w:type="dxa"/>
          </w:tcPr>
          <w:p w:rsidR="00B579FF" w:rsidRDefault="00C84770">
            <w:r>
              <w:rPr>
                <w:rFonts w:ascii="宋体" w:hAnsi="宋体" w:cs="宋体" w:hint="eastAsia"/>
                <w:szCs w:val="21"/>
              </w:rPr>
              <w:t>2次/年（不定期）</w:t>
            </w:r>
          </w:p>
        </w:tc>
      </w:tr>
      <w:tr w:rsidR="00B579FF">
        <w:tc>
          <w:tcPr>
            <w:tcW w:w="994" w:type="dxa"/>
            <w:vAlign w:val="center"/>
          </w:tcPr>
          <w:p w:rsidR="00B579FF" w:rsidRDefault="00C84770">
            <w:pPr>
              <w:pStyle w:val="a6"/>
              <w:spacing w:beforeAutospacing="0" w:afterAutospacing="0"/>
              <w:jc w:val="center"/>
              <w:textAlignment w:val="center"/>
            </w:pPr>
            <w:r>
              <w:rPr>
                <w:rFonts w:cs="宋体"/>
                <w:color w:val="000000"/>
                <w:sz w:val="18"/>
                <w:szCs w:val="18"/>
              </w:rPr>
              <w:t>4</w:t>
            </w:r>
          </w:p>
        </w:tc>
        <w:tc>
          <w:tcPr>
            <w:tcW w:w="1706" w:type="dxa"/>
            <w:vAlign w:val="center"/>
          </w:tcPr>
          <w:p w:rsidR="00B579FF" w:rsidRDefault="00C84770">
            <w:pPr>
              <w:pStyle w:val="a6"/>
              <w:spacing w:beforeAutospacing="0" w:afterAutospacing="0"/>
              <w:jc w:val="center"/>
              <w:textAlignment w:val="center"/>
              <w:rPr>
                <w:color w:val="000000"/>
              </w:rPr>
            </w:pPr>
            <w:r>
              <w:rPr>
                <w:rFonts w:cs="宋体" w:hint="eastAsia"/>
                <w:color w:val="000000"/>
                <w:sz w:val="18"/>
                <w:szCs w:val="18"/>
              </w:rPr>
              <w:t>安全加固指导服务</w:t>
            </w:r>
          </w:p>
        </w:tc>
        <w:tc>
          <w:tcPr>
            <w:tcW w:w="5218" w:type="dxa"/>
            <w:vAlign w:val="center"/>
          </w:tcPr>
          <w:p w:rsidR="00B579FF" w:rsidRDefault="00C84770">
            <w:pPr>
              <w:pStyle w:val="a6"/>
              <w:spacing w:beforeAutospacing="0" w:afterAutospacing="0"/>
            </w:pPr>
            <w:r>
              <w:rPr>
                <w:rFonts w:cs="宋体" w:hint="eastAsia"/>
                <w:color w:val="000000"/>
                <w:sz w:val="18"/>
                <w:szCs w:val="18"/>
              </w:rPr>
              <w:t>依据《国家信息安全等级保护基本要求》，从网络安全、主机安全和数据安全的角度，结合多种技术手段进行安全加固指导服务，实现安全技术体系、安全策略、安全措施和要求落实到产品功能或物理形态上，包括将网络架构、服务器、网络设备、安全设备、操作系统、数据库等提升到符合安全要求的安全状态。</w:t>
            </w:r>
          </w:p>
        </w:tc>
        <w:tc>
          <w:tcPr>
            <w:tcW w:w="1541" w:type="dxa"/>
          </w:tcPr>
          <w:p w:rsidR="00B579FF" w:rsidRDefault="00C84770">
            <w:r>
              <w:rPr>
                <w:rFonts w:ascii="宋体" w:hAnsi="宋体" w:cs="宋体" w:hint="eastAsia"/>
                <w:szCs w:val="21"/>
              </w:rPr>
              <w:t>2次/年</w:t>
            </w:r>
          </w:p>
        </w:tc>
      </w:tr>
      <w:tr w:rsidR="00B579FF">
        <w:trPr>
          <w:trHeight w:val="282"/>
        </w:trPr>
        <w:tc>
          <w:tcPr>
            <w:tcW w:w="994" w:type="dxa"/>
            <w:vAlign w:val="center"/>
          </w:tcPr>
          <w:p w:rsidR="00B579FF" w:rsidRDefault="00C84770">
            <w:pPr>
              <w:pStyle w:val="a6"/>
              <w:spacing w:beforeAutospacing="0" w:afterAutospacing="0"/>
              <w:jc w:val="center"/>
              <w:textAlignment w:val="center"/>
            </w:pPr>
            <w:r>
              <w:rPr>
                <w:rFonts w:cs="宋体"/>
                <w:color w:val="000000"/>
                <w:sz w:val="18"/>
                <w:szCs w:val="18"/>
              </w:rPr>
              <w:t>5</w:t>
            </w:r>
          </w:p>
        </w:tc>
        <w:tc>
          <w:tcPr>
            <w:tcW w:w="1706" w:type="dxa"/>
            <w:vAlign w:val="center"/>
          </w:tcPr>
          <w:p w:rsidR="00B579FF" w:rsidRDefault="00C84770">
            <w:pPr>
              <w:pStyle w:val="a6"/>
              <w:spacing w:beforeAutospacing="0" w:afterAutospacing="0"/>
              <w:jc w:val="center"/>
              <w:textAlignment w:val="center"/>
              <w:rPr>
                <w:color w:val="000000"/>
              </w:rPr>
            </w:pPr>
            <w:r>
              <w:rPr>
                <w:rFonts w:cs="宋体" w:hint="eastAsia"/>
                <w:color w:val="000000"/>
                <w:sz w:val="18"/>
                <w:szCs w:val="18"/>
              </w:rPr>
              <w:t>渗透测试服务</w:t>
            </w:r>
          </w:p>
        </w:tc>
        <w:tc>
          <w:tcPr>
            <w:tcW w:w="5218" w:type="dxa"/>
            <w:vAlign w:val="center"/>
          </w:tcPr>
          <w:p w:rsidR="00B579FF" w:rsidRDefault="00C84770">
            <w:pPr>
              <w:pStyle w:val="a6"/>
              <w:spacing w:beforeAutospacing="0" w:afterAutospacing="0"/>
            </w:pPr>
            <w:r>
              <w:rPr>
                <w:rFonts w:cs="宋体" w:hint="eastAsia"/>
                <w:color w:val="000000"/>
                <w:sz w:val="18"/>
                <w:szCs w:val="18"/>
              </w:rPr>
              <w:t>通过人工黑盒的测试方式，发现网络和业务系统中网络和系统存在的安全缺陷，提供渗透测试报告和改进建议。</w:t>
            </w:r>
          </w:p>
        </w:tc>
        <w:tc>
          <w:tcPr>
            <w:tcW w:w="1541" w:type="dxa"/>
          </w:tcPr>
          <w:p w:rsidR="00B579FF" w:rsidRDefault="00C84770">
            <w:r>
              <w:rPr>
                <w:rFonts w:ascii="宋体" w:hAnsi="宋体" w:cs="宋体" w:hint="eastAsia"/>
                <w:color w:val="000000"/>
                <w:kern w:val="0"/>
                <w:szCs w:val="21"/>
              </w:rPr>
              <w:t>1次</w:t>
            </w:r>
          </w:p>
        </w:tc>
      </w:tr>
      <w:tr w:rsidR="00B579FF">
        <w:trPr>
          <w:trHeight w:val="282"/>
        </w:trPr>
        <w:tc>
          <w:tcPr>
            <w:tcW w:w="994" w:type="dxa"/>
            <w:vAlign w:val="center"/>
          </w:tcPr>
          <w:p w:rsidR="00B579FF" w:rsidRDefault="00C84770">
            <w:pPr>
              <w:pStyle w:val="a6"/>
              <w:spacing w:beforeAutospacing="0" w:afterAutospacing="0"/>
              <w:jc w:val="center"/>
              <w:textAlignment w:val="center"/>
            </w:pPr>
            <w:r>
              <w:rPr>
                <w:rFonts w:cs="宋体"/>
                <w:color w:val="000000"/>
                <w:sz w:val="18"/>
                <w:szCs w:val="18"/>
              </w:rPr>
              <w:t>6</w:t>
            </w:r>
          </w:p>
        </w:tc>
        <w:tc>
          <w:tcPr>
            <w:tcW w:w="1706" w:type="dxa"/>
            <w:vAlign w:val="center"/>
          </w:tcPr>
          <w:p w:rsidR="00B579FF" w:rsidRDefault="00C84770">
            <w:pPr>
              <w:pStyle w:val="a6"/>
              <w:spacing w:beforeAutospacing="0" w:afterAutospacing="0"/>
              <w:jc w:val="center"/>
              <w:textAlignment w:val="center"/>
              <w:rPr>
                <w:color w:val="000000"/>
              </w:rPr>
            </w:pPr>
            <w:r>
              <w:rPr>
                <w:rFonts w:cs="宋体" w:hint="eastAsia"/>
                <w:color w:val="000000"/>
                <w:sz w:val="18"/>
                <w:szCs w:val="18"/>
              </w:rPr>
              <w:t>安全巡检服务</w:t>
            </w:r>
          </w:p>
        </w:tc>
        <w:tc>
          <w:tcPr>
            <w:tcW w:w="5218" w:type="dxa"/>
            <w:vAlign w:val="center"/>
          </w:tcPr>
          <w:p w:rsidR="00B579FF" w:rsidRDefault="00C84770">
            <w:pPr>
              <w:pStyle w:val="a6"/>
              <w:spacing w:beforeAutospacing="0" w:afterAutospacing="0"/>
            </w:pPr>
            <w:r>
              <w:rPr>
                <w:rFonts w:cs="宋体" w:hint="eastAsia"/>
                <w:color w:val="000000"/>
                <w:sz w:val="18"/>
                <w:szCs w:val="18"/>
              </w:rPr>
              <w:t>通过人工登陆方式检查设备日志、策略、内存、</w:t>
            </w:r>
            <w:r>
              <w:rPr>
                <w:rFonts w:cs="宋体" w:hint="eastAsia"/>
                <w:color w:val="000000"/>
                <w:sz w:val="18"/>
                <w:szCs w:val="18"/>
              </w:rPr>
              <w:t>CPU</w:t>
            </w:r>
            <w:r>
              <w:rPr>
                <w:rFonts w:cs="宋体" w:hint="eastAsia"/>
                <w:color w:val="000000"/>
                <w:sz w:val="18"/>
                <w:szCs w:val="18"/>
              </w:rPr>
              <w:t>相关信息，并提供相应的巡检报告和建议。</w:t>
            </w:r>
          </w:p>
        </w:tc>
        <w:tc>
          <w:tcPr>
            <w:tcW w:w="1541" w:type="dxa"/>
          </w:tcPr>
          <w:p w:rsidR="00B579FF" w:rsidRDefault="00C84770">
            <w:r>
              <w:rPr>
                <w:rFonts w:hint="eastAsia"/>
              </w:rPr>
              <w:t>4</w:t>
            </w:r>
            <w:r>
              <w:rPr>
                <w:rFonts w:hint="eastAsia"/>
              </w:rPr>
              <w:t>次</w:t>
            </w:r>
            <w:r>
              <w:rPr>
                <w:rFonts w:hint="eastAsia"/>
              </w:rPr>
              <w:t>/</w:t>
            </w:r>
            <w:r>
              <w:rPr>
                <w:rFonts w:hint="eastAsia"/>
              </w:rPr>
              <w:t>年</w:t>
            </w:r>
          </w:p>
        </w:tc>
      </w:tr>
      <w:tr w:rsidR="00B579FF">
        <w:trPr>
          <w:trHeight w:val="282"/>
        </w:trPr>
        <w:tc>
          <w:tcPr>
            <w:tcW w:w="994" w:type="dxa"/>
            <w:vAlign w:val="center"/>
          </w:tcPr>
          <w:p w:rsidR="00B579FF" w:rsidRDefault="00C84770">
            <w:pPr>
              <w:pStyle w:val="a6"/>
              <w:spacing w:beforeAutospacing="0" w:afterAutospacing="0"/>
              <w:jc w:val="center"/>
              <w:textAlignment w:val="center"/>
              <w:rPr>
                <w:rFonts w:cs="宋体"/>
                <w:color w:val="000000"/>
                <w:sz w:val="18"/>
                <w:szCs w:val="18"/>
              </w:rPr>
            </w:pPr>
            <w:r>
              <w:rPr>
                <w:rFonts w:cs="宋体"/>
                <w:color w:val="000000"/>
                <w:sz w:val="18"/>
                <w:szCs w:val="18"/>
              </w:rPr>
              <w:t>7</w:t>
            </w:r>
          </w:p>
        </w:tc>
        <w:tc>
          <w:tcPr>
            <w:tcW w:w="1706" w:type="dxa"/>
            <w:vAlign w:val="center"/>
          </w:tcPr>
          <w:p w:rsidR="00B579FF" w:rsidRDefault="00C84770">
            <w:pPr>
              <w:pStyle w:val="a6"/>
              <w:spacing w:beforeAutospacing="0" w:afterAutospacing="0"/>
              <w:jc w:val="center"/>
              <w:textAlignment w:val="center"/>
              <w:rPr>
                <w:rFonts w:cs="宋体"/>
                <w:color w:val="000000"/>
                <w:sz w:val="18"/>
                <w:szCs w:val="18"/>
              </w:rPr>
            </w:pPr>
            <w:r>
              <w:rPr>
                <w:rFonts w:cs="宋体" w:hint="eastAsia"/>
                <w:color w:val="000000"/>
                <w:sz w:val="18"/>
                <w:szCs w:val="18"/>
              </w:rPr>
              <w:t>特殊时期安全保障</w:t>
            </w:r>
          </w:p>
        </w:tc>
        <w:tc>
          <w:tcPr>
            <w:tcW w:w="5218" w:type="dxa"/>
            <w:vAlign w:val="center"/>
          </w:tcPr>
          <w:p w:rsidR="00B579FF" w:rsidRDefault="00C84770">
            <w:pPr>
              <w:pStyle w:val="a6"/>
              <w:spacing w:beforeAutospacing="0" w:afterAutospacing="0"/>
              <w:rPr>
                <w:rFonts w:cs="宋体"/>
                <w:color w:val="000000"/>
                <w:sz w:val="18"/>
                <w:szCs w:val="18"/>
              </w:rPr>
            </w:pPr>
            <w:r>
              <w:rPr>
                <w:rFonts w:ascii="宋体" w:hAnsi="宋体" w:cs="宋体" w:hint="eastAsia"/>
                <w:color w:val="000000"/>
                <w:sz w:val="18"/>
                <w:szCs w:val="18"/>
              </w:rPr>
              <w:t>在两会、博鳌亚洲论坛、国庆</w:t>
            </w:r>
            <w:r w:rsidR="00D14641">
              <w:rPr>
                <w:rFonts w:ascii="宋体" w:hAnsi="宋体" w:cs="宋体" w:hint="eastAsia"/>
                <w:color w:val="000000"/>
                <w:sz w:val="18"/>
                <w:szCs w:val="18"/>
              </w:rPr>
              <w:t>等</w:t>
            </w:r>
            <w:r>
              <w:rPr>
                <w:rFonts w:ascii="宋体" w:hAnsi="宋体" w:cs="宋体" w:hint="eastAsia"/>
                <w:color w:val="000000"/>
                <w:sz w:val="18"/>
                <w:szCs w:val="18"/>
              </w:rPr>
              <w:t>重要时期期间，为单位提供脆弱性排查、入侵检测、安全防护和安全保障能力。针对单位在重大时段的安全保障服务从时间上可以分为三个事前、事中、事后三个阶段，只有将每个阶段的安全保障任务有机结合起来才能最大限度的提升单位网络与信息系统的安全保障水平。</w:t>
            </w:r>
          </w:p>
        </w:tc>
        <w:tc>
          <w:tcPr>
            <w:tcW w:w="1541" w:type="dxa"/>
          </w:tcPr>
          <w:p w:rsidR="00B579FF" w:rsidRDefault="00D51BCA">
            <w:pPr>
              <w:rPr>
                <w:rFonts w:ascii="宋体" w:hAnsi="宋体" w:cs="宋体"/>
                <w:color w:val="000000"/>
                <w:kern w:val="0"/>
                <w:szCs w:val="21"/>
              </w:rPr>
            </w:pPr>
            <w:r>
              <w:rPr>
                <w:rFonts w:hint="eastAsia"/>
              </w:rPr>
              <w:t>3</w:t>
            </w:r>
            <w:r w:rsidR="00C84770">
              <w:rPr>
                <w:rFonts w:hint="eastAsia"/>
              </w:rPr>
              <w:t>次</w:t>
            </w:r>
          </w:p>
        </w:tc>
      </w:tr>
      <w:tr w:rsidR="005A329D">
        <w:trPr>
          <w:trHeight w:val="282"/>
        </w:trPr>
        <w:tc>
          <w:tcPr>
            <w:tcW w:w="994" w:type="dxa"/>
            <w:vAlign w:val="center"/>
          </w:tcPr>
          <w:p w:rsidR="005A329D" w:rsidRPr="0058544B" w:rsidRDefault="005A329D" w:rsidP="0058544B">
            <w:pPr>
              <w:pStyle w:val="a6"/>
              <w:spacing w:beforeAutospacing="0" w:afterAutospacing="0"/>
              <w:rPr>
                <w:rFonts w:ascii="宋体" w:hAnsi="宋体" w:cs="宋体"/>
                <w:color w:val="000000"/>
                <w:sz w:val="18"/>
                <w:szCs w:val="18"/>
              </w:rPr>
            </w:pPr>
            <w:r w:rsidRPr="0058544B">
              <w:rPr>
                <w:rFonts w:ascii="宋体" w:hAnsi="宋体" w:cs="宋体" w:hint="eastAsia"/>
                <w:color w:val="000000"/>
                <w:sz w:val="18"/>
                <w:szCs w:val="18"/>
              </w:rPr>
              <w:t>8</w:t>
            </w:r>
          </w:p>
        </w:tc>
        <w:tc>
          <w:tcPr>
            <w:tcW w:w="1706" w:type="dxa"/>
            <w:vAlign w:val="center"/>
          </w:tcPr>
          <w:p w:rsidR="005A329D" w:rsidRPr="0058544B" w:rsidRDefault="005A329D" w:rsidP="0058544B">
            <w:pPr>
              <w:pStyle w:val="a6"/>
              <w:spacing w:beforeAutospacing="0" w:afterAutospacing="0"/>
              <w:rPr>
                <w:rFonts w:ascii="宋体" w:hAnsi="宋体" w:cs="宋体"/>
                <w:color w:val="000000"/>
                <w:sz w:val="18"/>
                <w:szCs w:val="18"/>
              </w:rPr>
            </w:pPr>
            <w:r w:rsidRPr="0058544B">
              <w:rPr>
                <w:rFonts w:ascii="宋体" w:hAnsi="宋体" w:cs="宋体" w:hint="eastAsia"/>
                <w:color w:val="000000"/>
                <w:sz w:val="18"/>
                <w:szCs w:val="18"/>
              </w:rPr>
              <w:t>信息安全技术</w:t>
            </w:r>
            <w:r w:rsidR="0058544B" w:rsidRPr="0058544B">
              <w:rPr>
                <w:rFonts w:ascii="宋体" w:hAnsi="宋体" w:cs="宋体" w:hint="eastAsia"/>
                <w:color w:val="000000"/>
                <w:sz w:val="18"/>
                <w:szCs w:val="18"/>
              </w:rPr>
              <w:t>支持</w:t>
            </w:r>
            <w:r w:rsidRPr="0058544B">
              <w:rPr>
                <w:rFonts w:ascii="宋体" w:hAnsi="宋体" w:cs="宋体" w:hint="eastAsia"/>
                <w:color w:val="000000"/>
                <w:sz w:val="18"/>
                <w:szCs w:val="18"/>
              </w:rPr>
              <w:t>服务</w:t>
            </w:r>
          </w:p>
        </w:tc>
        <w:tc>
          <w:tcPr>
            <w:tcW w:w="5218" w:type="dxa"/>
            <w:vAlign w:val="center"/>
          </w:tcPr>
          <w:p w:rsidR="005A329D" w:rsidRPr="0058544B" w:rsidRDefault="00B56249" w:rsidP="0058544B">
            <w:pPr>
              <w:pStyle w:val="a6"/>
              <w:spacing w:beforeAutospacing="0" w:afterAutospacing="0"/>
              <w:rPr>
                <w:rFonts w:ascii="宋体" w:hAnsi="宋体" w:cs="宋体"/>
                <w:color w:val="000000"/>
                <w:sz w:val="18"/>
                <w:szCs w:val="18"/>
              </w:rPr>
            </w:pPr>
            <w:r w:rsidRPr="0058544B">
              <w:rPr>
                <w:rFonts w:ascii="宋体" w:hAnsi="宋体" w:cs="宋体" w:hint="eastAsia"/>
                <w:color w:val="000000"/>
                <w:sz w:val="18"/>
                <w:szCs w:val="18"/>
              </w:rPr>
              <w:t>提供5*8小时的</w:t>
            </w:r>
            <w:r w:rsidR="0058544B" w:rsidRPr="0058544B">
              <w:rPr>
                <w:rFonts w:ascii="宋体" w:hAnsi="宋体" w:cs="宋体" w:hint="eastAsia"/>
                <w:color w:val="000000"/>
                <w:sz w:val="18"/>
                <w:szCs w:val="18"/>
              </w:rPr>
              <w:t>信息安全</w:t>
            </w:r>
            <w:r w:rsidRPr="0058544B">
              <w:rPr>
                <w:rFonts w:ascii="宋体" w:hAnsi="宋体" w:cs="宋体" w:hint="eastAsia"/>
                <w:color w:val="000000"/>
                <w:sz w:val="18"/>
                <w:szCs w:val="18"/>
              </w:rPr>
              <w:t>支持服务</w:t>
            </w:r>
          </w:p>
        </w:tc>
        <w:tc>
          <w:tcPr>
            <w:tcW w:w="1541" w:type="dxa"/>
          </w:tcPr>
          <w:p w:rsidR="005A329D" w:rsidRPr="0058544B" w:rsidRDefault="00B56249" w:rsidP="0058544B">
            <w:pPr>
              <w:jc w:val="left"/>
              <w:rPr>
                <w:rFonts w:ascii="宋体" w:hAnsi="宋体" w:cs="宋体"/>
                <w:color w:val="000000"/>
                <w:kern w:val="0"/>
                <w:sz w:val="18"/>
                <w:szCs w:val="18"/>
              </w:rPr>
            </w:pPr>
            <w:r w:rsidRPr="0058544B">
              <w:rPr>
                <w:rFonts w:ascii="宋体" w:hAnsi="宋体" w:cs="宋体" w:hint="eastAsia"/>
                <w:color w:val="000000"/>
                <w:kern w:val="0"/>
                <w:sz w:val="18"/>
                <w:szCs w:val="18"/>
              </w:rPr>
              <w:t>1年</w:t>
            </w:r>
          </w:p>
        </w:tc>
      </w:tr>
    </w:tbl>
    <w:p w:rsidR="00B579FF" w:rsidRDefault="00B579FF">
      <w:pPr>
        <w:snapToGrid w:val="0"/>
        <w:outlineLvl w:val="0"/>
        <w:rPr>
          <w:rFonts w:ascii="宋体" w:hAnsi="宋体" w:cs="Arial"/>
          <w:b/>
          <w:sz w:val="26"/>
          <w:szCs w:val="24"/>
        </w:rPr>
      </w:pPr>
    </w:p>
    <w:p w:rsidR="00B579FF" w:rsidRDefault="00B579FF">
      <w:pPr>
        <w:spacing w:line="440" w:lineRule="exact"/>
        <w:jc w:val="left"/>
      </w:pPr>
    </w:p>
    <w:p w:rsidR="00B579FF" w:rsidRDefault="00B579FF">
      <w:pPr>
        <w:spacing w:line="440" w:lineRule="exact"/>
        <w:jc w:val="left"/>
      </w:pPr>
    </w:p>
    <w:p w:rsidR="00B579FF" w:rsidRDefault="00C84770">
      <w:pPr>
        <w:topLinePunct/>
        <w:spacing w:before="4" w:line="400" w:lineRule="exact"/>
        <w:jc w:val="center"/>
        <w:rPr>
          <w:rFonts w:ascii="仿宋_GB2312" w:eastAsia="仿宋_GB2312" w:hAnsi="华文中宋"/>
          <w:sz w:val="24"/>
        </w:rPr>
      </w:pPr>
      <w:r>
        <w:rPr>
          <w:rFonts w:hint="eastAsia"/>
          <w:b/>
          <w:sz w:val="36"/>
          <w:szCs w:val="36"/>
        </w:rPr>
        <w:t>第三章报价一览表</w:t>
      </w:r>
    </w:p>
    <w:p w:rsidR="00B579FF" w:rsidRDefault="00B579FF">
      <w:pPr>
        <w:rPr>
          <w:rFonts w:ascii="宋体" w:hAnsi="宋体"/>
          <w:sz w:val="30"/>
          <w:szCs w:val="30"/>
        </w:rPr>
      </w:pP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354"/>
        <w:gridCol w:w="2145"/>
        <w:gridCol w:w="3071"/>
      </w:tblGrid>
      <w:tr w:rsidR="00B579FF">
        <w:trPr>
          <w:trHeight w:val="506"/>
        </w:trPr>
        <w:tc>
          <w:tcPr>
            <w:tcW w:w="1015" w:type="dxa"/>
            <w:vAlign w:val="center"/>
          </w:tcPr>
          <w:p w:rsidR="00B579FF" w:rsidRDefault="00C84770">
            <w:pPr>
              <w:jc w:val="center"/>
              <w:rPr>
                <w:rFonts w:ascii="宋体" w:hAnsi="宋体"/>
                <w:sz w:val="24"/>
              </w:rPr>
            </w:pPr>
            <w:r>
              <w:rPr>
                <w:rFonts w:ascii="宋体" w:hAnsi="宋体" w:hint="eastAsia"/>
                <w:sz w:val="24"/>
              </w:rPr>
              <w:t>序号</w:t>
            </w:r>
          </w:p>
        </w:tc>
        <w:tc>
          <w:tcPr>
            <w:tcW w:w="2354" w:type="dxa"/>
            <w:vAlign w:val="center"/>
          </w:tcPr>
          <w:p w:rsidR="00B579FF" w:rsidRDefault="00C84770">
            <w:pPr>
              <w:jc w:val="center"/>
              <w:rPr>
                <w:rFonts w:ascii="宋体" w:hAnsi="宋体"/>
                <w:sz w:val="24"/>
              </w:rPr>
            </w:pPr>
            <w:r>
              <w:rPr>
                <w:rFonts w:ascii="宋体" w:hAnsi="宋体" w:hint="eastAsia"/>
                <w:sz w:val="24"/>
              </w:rPr>
              <w:t>项目名称</w:t>
            </w:r>
          </w:p>
        </w:tc>
        <w:tc>
          <w:tcPr>
            <w:tcW w:w="2145" w:type="dxa"/>
            <w:vAlign w:val="center"/>
          </w:tcPr>
          <w:p w:rsidR="00B579FF" w:rsidRDefault="00C84770">
            <w:pPr>
              <w:jc w:val="center"/>
              <w:rPr>
                <w:rFonts w:ascii="宋体" w:hAnsi="宋体"/>
                <w:sz w:val="24"/>
              </w:rPr>
            </w:pPr>
            <w:r>
              <w:rPr>
                <w:rFonts w:ascii="宋体" w:hAnsi="宋体" w:hint="eastAsia"/>
                <w:sz w:val="24"/>
              </w:rPr>
              <w:t>金额（元）</w:t>
            </w:r>
          </w:p>
        </w:tc>
        <w:tc>
          <w:tcPr>
            <w:tcW w:w="3071" w:type="dxa"/>
            <w:vAlign w:val="center"/>
          </w:tcPr>
          <w:p w:rsidR="00B579FF" w:rsidRDefault="00C84770">
            <w:pPr>
              <w:jc w:val="center"/>
              <w:rPr>
                <w:rFonts w:ascii="宋体" w:hAnsi="宋体"/>
                <w:sz w:val="24"/>
              </w:rPr>
            </w:pPr>
            <w:r>
              <w:rPr>
                <w:rFonts w:ascii="宋体" w:hAnsi="宋体" w:hint="eastAsia"/>
                <w:sz w:val="24"/>
              </w:rPr>
              <w:t>服务时间</w:t>
            </w:r>
          </w:p>
        </w:tc>
      </w:tr>
      <w:tr w:rsidR="00B579FF">
        <w:trPr>
          <w:trHeight w:val="690"/>
        </w:trPr>
        <w:tc>
          <w:tcPr>
            <w:tcW w:w="1015" w:type="dxa"/>
            <w:tcBorders>
              <w:bottom w:val="single" w:sz="4" w:space="0" w:color="auto"/>
            </w:tcBorders>
            <w:vAlign w:val="center"/>
          </w:tcPr>
          <w:p w:rsidR="00B579FF" w:rsidRDefault="00C84770">
            <w:pPr>
              <w:rPr>
                <w:rFonts w:ascii="宋体" w:hAnsi="宋体"/>
                <w:sz w:val="24"/>
              </w:rPr>
            </w:pPr>
            <w:r>
              <w:rPr>
                <w:rFonts w:ascii="宋体" w:hAnsi="宋体" w:hint="eastAsia"/>
                <w:sz w:val="24"/>
              </w:rPr>
              <w:t>1</w:t>
            </w:r>
          </w:p>
        </w:tc>
        <w:tc>
          <w:tcPr>
            <w:tcW w:w="2354" w:type="dxa"/>
            <w:vAlign w:val="center"/>
          </w:tcPr>
          <w:p w:rsidR="00B579FF" w:rsidRDefault="00C84770">
            <w:pPr>
              <w:rPr>
                <w:rFonts w:ascii="宋体" w:hAnsi="宋体"/>
                <w:sz w:val="32"/>
                <w:szCs w:val="32"/>
              </w:rPr>
            </w:pPr>
            <w:r>
              <w:rPr>
                <w:rFonts w:ascii="宋体" w:hAnsi="宋体" w:hint="eastAsia"/>
                <w:b/>
                <w:szCs w:val="21"/>
              </w:rPr>
              <w:t>安全漏洞扫描评估服务</w:t>
            </w:r>
          </w:p>
        </w:tc>
        <w:tc>
          <w:tcPr>
            <w:tcW w:w="2145" w:type="dxa"/>
            <w:vAlign w:val="center"/>
          </w:tcPr>
          <w:p w:rsidR="00B579FF" w:rsidRDefault="00B579FF">
            <w:pPr>
              <w:rPr>
                <w:rFonts w:ascii="宋体" w:hAnsi="宋体"/>
                <w:sz w:val="24"/>
              </w:rPr>
            </w:pPr>
          </w:p>
        </w:tc>
        <w:tc>
          <w:tcPr>
            <w:tcW w:w="3071" w:type="dxa"/>
          </w:tcPr>
          <w:p w:rsidR="00B579FF" w:rsidRDefault="00C84770">
            <w:pPr>
              <w:spacing w:line="360" w:lineRule="auto"/>
              <w:jc w:val="center"/>
              <w:rPr>
                <w:rFonts w:ascii="宋体" w:hAnsi="宋体"/>
                <w:sz w:val="24"/>
              </w:rPr>
            </w:pPr>
            <w:r>
              <w:rPr>
                <w:rFonts w:hint="eastAsia"/>
              </w:rPr>
              <w:t>4</w:t>
            </w:r>
            <w:r>
              <w:rPr>
                <w:rFonts w:hint="eastAsia"/>
              </w:rPr>
              <w:t>次</w:t>
            </w:r>
            <w:r>
              <w:rPr>
                <w:rFonts w:hint="eastAsia"/>
              </w:rPr>
              <w:t>/</w:t>
            </w:r>
            <w:r>
              <w:rPr>
                <w:rFonts w:hint="eastAsia"/>
              </w:rPr>
              <w:t>年</w:t>
            </w:r>
          </w:p>
        </w:tc>
      </w:tr>
      <w:tr w:rsidR="00B579FF">
        <w:trPr>
          <w:trHeight w:val="696"/>
        </w:trPr>
        <w:tc>
          <w:tcPr>
            <w:tcW w:w="1015" w:type="dxa"/>
            <w:tcBorders>
              <w:bottom w:val="single" w:sz="4" w:space="0" w:color="auto"/>
            </w:tcBorders>
            <w:vAlign w:val="center"/>
          </w:tcPr>
          <w:p w:rsidR="00B579FF" w:rsidRDefault="00BC5465">
            <w:pPr>
              <w:rPr>
                <w:rFonts w:ascii="宋体" w:hAnsi="宋体"/>
                <w:sz w:val="24"/>
              </w:rPr>
            </w:pPr>
            <w:r>
              <w:rPr>
                <w:rFonts w:ascii="宋体" w:hAnsi="宋体" w:hint="eastAsia"/>
                <w:sz w:val="24"/>
              </w:rPr>
              <w:t>2</w:t>
            </w:r>
          </w:p>
        </w:tc>
        <w:tc>
          <w:tcPr>
            <w:tcW w:w="2354" w:type="dxa"/>
            <w:vAlign w:val="center"/>
          </w:tcPr>
          <w:p w:rsidR="00B579FF" w:rsidRDefault="00C84770">
            <w:pPr>
              <w:rPr>
                <w:rFonts w:ascii="宋体" w:hAnsi="宋体"/>
                <w:b/>
                <w:szCs w:val="21"/>
              </w:rPr>
            </w:pPr>
            <w:r>
              <w:rPr>
                <w:rFonts w:ascii="宋体" w:hAnsi="宋体" w:hint="eastAsia"/>
                <w:b/>
                <w:szCs w:val="21"/>
              </w:rPr>
              <w:t>WEB监测服务</w:t>
            </w:r>
          </w:p>
        </w:tc>
        <w:tc>
          <w:tcPr>
            <w:tcW w:w="2145" w:type="dxa"/>
            <w:vAlign w:val="center"/>
          </w:tcPr>
          <w:p w:rsidR="00B579FF" w:rsidRDefault="00B579FF">
            <w:pPr>
              <w:rPr>
                <w:rFonts w:ascii="宋体" w:hAnsi="宋体"/>
                <w:sz w:val="24"/>
              </w:rPr>
            </w:pPr>
          </w:p>
        </w:tc>
        <w:tc>
          <w:tcPr>
            <w:tcW w:w="3071" w:type="dxa"/>
          </w:tcPr>
          <w:p w:rsidR="00B579FF" w:rsidRDefault="00C84770">
            <w:pPr>
              <w:spacing w:line="360" w:lineRule="auto"/>
              <w:jc w:val="center"/>
              <w:rPr>
                <w:rFonts w:ascii="宋体" w:hAnsi="宋体"/>
                <w:sz w:val="24"/>
              </w:rPr>
            </w:pPr>
            <w:r>
              <w:rPr>
                <w:rFonts w:hint="eastAsia"/>
              </w:rPr>
              <w:t>1</w:t>
            </w:r>
            <w:r>
              <w:rPr>
                <w:rFonts w:hint="eastAsia"/>
              </w:rPr>
              <w:t>年</w:t>
            </w:r>
          </w:p>
        </w:tc>
      </w:tr>
      <w:tr w:rsidR="00B579FF">
        <w:trPr>
          <w:trHeight w:val="692"/>
        </w:trPr>
        <w:tc>
          <w:tcPr>
            <w:tcW w:w="1015" w:type="dxa"/>
            <w:tcBorders>
              <w:bottom w:val="single" w:sz="4" w:space="0" w:color="auto"/>
            </w:tcBorders>
            <w:vAlign w:val="center"/>
          </w:tcPr>
          <w:p w:rsidR="00B579FF" w:rsidRDefault="00BC5465">
            <w:pPr>
              <w:rPr>
                <w:rFonts w:ascii="宋体" w:hAnsi="宋体"/>
                <w:sz w:val="24"/>
              </w:rPr>
            </w:pPr>
            <w:r>
              <w:rPr>
                <w:rFonts w:ascii="宋体" w:hAnsi="宋体" w:hint="eastAsia"/>
                <w:sz w:val="24"/>
              </w:rPr>
              <w:t>3</w:t>
            </w:r>
          </w:p>
        </w:tc>
        <w:tc>
          <w:tcPr>
            <w:tcW w:w="2354" w:type="dxa"/>
            <w:vAlign w:val="center"/>
          </w:tcPr>
          <w:p w:rsidR="00B579FF" w:rsidRDefault="00C84770">
            <w:pPr>
              <w:rPr>
                <w:rFonts w:ascii="宋体" w:hAnsi="宋体"/>
                <w:b/>
                <w:szCs w:val="21"/>
              </w:rPr>
            </w:pPr>
            <w:r>
              <w:rPr>
                <w:rFonts w:ascii="宋体" w:hAnsi="宋体" w:hint="eastAsia"/>
                <w:b/>
                <w:szCs w:val="21"/>
              </w:rPr>
              <w:t>应急响应服务</w:t>
            </w:r>
          </w:p>
        </w:tc>
        <w:tc>
          <w:tcPr>
            <w:tcW w:w="2145" w:type="dxa"/>
            <w:vAlign w:val="center"/>
          </w:tcPr>
          <w:p w:rsidR="00B579FF" w:rsidRDefault="00B579FF">
            <w:pPr>
              <w:rPr>
                <w:rFonts w:ascii="宋体" w:hAnsi="宋体"/>
                <w:sz w:val="24"/>
              </w:rPr>
            </w:pPr>
          </w:p>
        </w:tc>
        <w:tc>
          <w:tcPr>
            <w:tcW w:w="3071" w:type="dxa"/>
          </w:tcPr>
          <w:p w:rsidR="00B579FF" w:rsidRDefault="00C84770">
            <w:pPr>
              <w:spacing w:line="360" w:lineRule="auto"/>
              <w:jc w:val="center"/>
              <w:rPr>
                <w:rFonts w:ascii="宋体" w:hAnsi="宋体"/>
                <w:sz w:val="24"/>
              </w:rPr>
            </w:pPr>
            <w:r>
              <w:rPr>
                <w:rFonts w:ascii="宋体" w:hAnsi="宋体" w:cs="宋体" w:hint="eastAsia"/>
                <w:szCs w:val="21"/>
              </w:rPr>
              <w:t>2次/年（不定期）</w:t>
            </w:r>
          </w:p>
        </w:tc>
      </w:tr>
      <w:tr w:rsidR="00B579FF">
        <w:trPr>
          <w:trHeight w:val="700"/>
        </w:trPr>
        <w:tc>
          <w:tcPr>
            <w:tcW w:w="1015" w:type="dxa"/>
            <w:tcBorders>
              <w:bottom w:val="single" w:sz="4" w:space="0" w:color="auto"/>
            </w:tcBorders>
            <w:vAlign w:val="center"/>
          </w:tcPr>
          <w:p w:rsidR="00B579FF" w:rsidRDefault="00BC5465">
            <w:pPr>
              <w:rPr>
                <w:rFonts w:ascii="宋体" w:hAnsi="宋体"/>
                <w:sz w:val="24"/>
              </w:rPr>
            </w:pPr>
            <w:r>
              <w:rPr>
                <w:rFonts w:ascii="宋体" w:hAnsi="宋体" w:hint="eastAsia"/>
                <w:sz w:val="24"/>
              </w:rPr>
              <w:t>4</w:t>
            </w:r>
          </w:p>
        </w:tc>
        <w:tc>
          <w:tcPr>
            <w:tcW w:w="2354" w:type="dxa"/>
            <w:vAlign w:val="center"/>
          </w:tcPr>
          <w:p w:rsidR="00B579FF" w:rsidRDefault="00C84770">
            <w:pPr>
              <w:rPr>
                <w:rFonts w:ascii="宋体" w:hAnsi="宋体"/>
                <w:b/>
                <w:szCs w:val="21"/>
              </w:rPr>
            </w:pPr>
            <w:r>
              <w:rPr>
                <w:rFonts w:ascii="宋体" w:hAnsi="宋体" w:hint="eastAsia"/>
                <w:b/>
                <w:szCs w:val="21"/>
              </w:rPr>
              <w:t>安全配置加固指导服务</w:t>
            </w:r>
          </w:p>
        </w:tc>
        <w:tc>
          <w:tcPr>
            <w:tcW w:w="2145" w:type="dxa"/>
            <w:vAlign w:val="center"/>
          </w:tcPr>
          <w:p w:rsidR="00B579FF" w:rsidRDefault="00B579FF">
            <w:pPr>
              <w:rPr>
                <w:rFonts w:ascii="宋体" w:hAnsi="宋体"/>
                <w:sz w:val="24"/>
              </w:rPr>
            </w:pPr>
          </w:p>
        </w:tc>
        <w:tc>
          <w:tcPr>
            <w:tcW w:w="3071" w:type="dxa"/>
          </w:tcPr>
          <w:p w:rsidR="00B579FF" w:rsidRDefault="00C84770">
            <w:pPr>
              <w:spacing w:line="360" w:lineRule="auto"/>
              <w:jc w:val="center"/>
              <w:rPr>
                <w:rFonts w:ascii="宋体" w:hAnsi="宋体"/>
                <w:sz w:val="24"/>
              </w:rPr>
            </w:pPr>
            <w:r>
              <w:rPr>
                <w:rFonts w:ascii="宋体" w:hAnsi="宋体" w:cs="宋体" w:hint="eastAsia"/>
                <w:szCs w:val="21"/>
              </w:rPr>
              <w:t>2次/年</w:t>
            </w:r>
          </w:p>
        </w:tc>
      </w:tr>
      <w:tr w:rsidR="00B579FF">
        <w:trPr>
          <w:trHeight w:val="692"/>
        </w:trPr>
        <w:tc>
          <w:tcPr>
            <w:tcW w:w="1015" w:type="dxa"/>
            <w:tcBorders>
              <w:bottom w:val="single" w:sz="4" w:space="0" w:color="auto"/>
            </w:tcBorders>
            <w:vAlign w:val="center"/>
          </w:tcPr>
          <w:p w:rsidR="00B579FF" w:rsidRDefault="00BC5465">
            <w:pPr>
              <w:rPr>
                <w:rFonts w:ascii="宋体" w:hAnsi="宋体"/>
                <w:sz w:val="24"/>
              </w:rPr>
            </w:pPr>
            <w:r>
              <w:rPr>
                <w:rFonts w:ascii="宋体" w:hAnsi="宋体" w:hint="eastAsia"/>
                <w:sz w:val="24"/>
              </w:rPr>
              <w:lastRenderedPageBreak/>
              <w:t>5</w:t>
            </w:r>
          </w:p>
        </w:tc>
        <w:tc>
          <w:tcPr>
            <w:tcW w:w="2354" w:type="dxa"/>
            <w:vAlign w:val="center"/>
          </w:tcPr>
          <w:p w:rsidR="00B579FF" w:rsidRDefault="00C84770">
            <w:pPr>
              <w:rPr>
                <w:rFonts w:ascii="宋体" w:hAnsi="宋体"/>
                <w:b/>
                <w:szCs w:val="21"/>
              </w:rPr>
            </w:pPr>
            <w:r>
              <w:rPr>
                <w:rFonts w:ascii="宋体" w:hAnsi="宋体" w:hint="eastAsia"/>
                <w:b/>
                <w:szCs w:val="21"/>
              </w:rPr>
              <w:t>渗透测试服务</w:t>
            </w:r>
          </w:p>
        </w:tc>
        <w:tc>
          <w:tcPr>
            <w:tcW w:w="2145" w:type="dxa"/>
            <w:vAlign w:val="center"/>
          </w:tcPr>
          <w:p w:rsidR="00B579FF" w:rsidRDefault="00B579FF">
            <w:pPr>
              <w:rPr>
                <w:rFonts w:ascii="宋体" w:hAnsi="宋体"/>
                <w:sz w:val="24"/>
              </w:rPr>
            </w:pPr>
          </w:p>
        </w:tc>
        <w:tc>
          <w:tcPr>
            <w:tcW w:w="3071" w:type="dxa"/>
          </w:tcPr>
          <w:p w:rsidR="00B579FF" w:rsidRDefault="00C84770">
            <w:pPr>
              <w:spacing w:line="360" w:lineRule="auto"/>
              <w:jc w:val="center"/>
              <w:rPr>
                <w:rFonts w:ascii="宋体" w:hAnsi="宋体"/>
                <w:sz w:val="24"/>
              </w:rPr>
            </w:pPr>
            <w:r>
              <w:rPr>
                <w:rFonts w:ascii="宋体" w:hAnsi="宋体" w:cs="宋体" w:hint="eastAsia"/>
                <w:color w:val="000000"/>
                <w:kern w:val="0"/>
                <w:szCs w:val="21"/>
              </w:rPr>
              <w:t>1次</w:t>
            </w:r>
          </w:p>
        </w:tc>
      </w:tr>
      <w:tr w:rsidR="00B579FF">
        <w:trPr>
          <w:trHeight w:val="692"/>
        </w:trPr>
        <w:tc>
          <w:tcPr>
            <w:tcW w:w="1015" w:type="dxa"/>
            <w:tcBorders>
              <w:bottom w:val="single" w:sz="4" w:space="0" w:color="auto"/>
            </w:tcBorders>
            <w:vAlign w:val="center"/>
          </w:tcPr>
          <w:p w:rsidR="00B579FF" w:rsidRDefault="00BC5465">
            <w:pPr>
              <w:rPr>
                <w:rFonts w:ascii="宋体" w:hAnsi="宋体"/>
                <w:sz w:val="24"/>
              </w:rPr>
            </w:pPr>
            <w:r>
              <w:rPr>
                <w:rFonts w:ascii="宋体" w:hAnsi="宋体" w:hint="eastAsia"/>
                <w:sz w:val="24"/>
              </w:rPr>
              <w:t>6</w:t>
            </w:r>
          </w:p>
        </w:tc>
        <w:tc>
          <w:tcPr>
            <w:tcW w:w="2354" w:type="dxa"/>
            <w:vAlign w:val="center"/>
          </w:tcPr>
          <w:p w:rsidR="00B579FF" w:rsidRDefault="00C84770">
            <w:pPr>
              <w:rPr>
                <w:rFonts w:ascii="宋体" w:hAnsi="宋体"/>
                <w:b/>
                <w:szCs w:val="21"/>
              </w:rPr>
            </w:pPr>
            <w:r>
              <w:rPr>
                <w:rFonts w:ascii="宋体" w:hAnsi="宋体" w:hint="eastAsia"/>
                <w:b/>
                <w:szCs w:val="21"/>
              </w:rPr>
              <w:t>安全巡检服务</w:t>
            </w:r>
          </w:p>
        </w:tc>
        <w:tc>
          <w:tcPr>
            <w:tcW w:w="2145" w:type="dxa"/>
            <w:vAlign w:val="center"/>
          </w:tcPr>
          <w:p w:rsidR="00B579FF" w:rsidRDefault="00B579FF">
            <w:pPr>
              <w:rPr>
                <w:rFonts w:ascii="宋体" w:hAnsi="宋体"/>
                <w:sz w:val="24"/>
              </w:rPr>
            </w:pPr>
          </w:p>
        </w:tc>
        <w:tc>
          <w:tcPr>
            <w:tcW w:w="3071" w:type="dxa"/>
          </w:tcPr>
          <w:p w:rsidR="00B579FF" w:rsidRDefault="00C84770">
            <w:pPr>
              <w:spacing w:line="360" w:lineRule="auto"/>
              <w:jc w:val="center"/>
              <w:rPr>
                <w:rFonts w:ascii="宋体" w:hAnsi="宋体"/>
                <w:sz w:val="24"/>
              </w:rPr>
            </w:pPr>
            <w:r>
              <w:rPr>
                <w:rFonts w:hint="eastAsia"/>
              </w:rPr>
              <w:t>4</w:t>
            </w:r>
            <w:r>
              <w:rPr>
                <w:rFonts w:hint="eastAsia"/>
              </w:rPr>
              <w:t>次</w:t>
            </w:r>
            <w:r>
              <w:rPr>
                <w:rFonts w:hint="eastAsia"/>
              </w:rPr>
              <w:t>/</w:t>
            </w:r>
            <w:r>
              <w:rPr>
                <w:rFonts w:hint="eastAsia"/>
              </w:rPr>
              <w:t>年</w:t>
            </w:r>
          </w:p>
        </w:tc>
      </w:tr>
      <w:tr w:rsidR="00B579FF">
        <w:trPr>
          <w:trHeight w:val="692"/>
        </w:trPr>
        <w:tc>
          <w:tcPr>
            <w:tcW w:w="1015" w:type="dxa"/>
            <w:tcBorders>
              <w:bottom w:val="single" w:sz="4" w:space="0" w:color="auto"/>
            </w:tcBorders>
            <w:vAlign w:val="center"/>
          </w:tcPr>
          <w:p w:rsidR="00B579FF" w:rsidRDefault="00BC5465">
            <w:pPr>
              <w:rPr>
                <w:rFonts w:ascii="宋体" w:hAnsi="宋体"/>
                <w:sz w:val="24"/>
              </w:rPr>
            </w:pPr>
            <w:r>
              <w:rPr>
                <w:rFonts w:ascii="宋体" w:hAnsi="宋体" w:hint="eastAsia"/>
                <w:sz w:val="24"/>
              </w:rPr>
              <w:t>7</w:t>
            </w:r>
          </w:p>
        </w:tc>
        <w:tc>
          <w:tcPr>
            <w:tcW w:w="2354" w:type="dxa"/>
            <w:vAlign w:val="center"/>
          </w:tcPr>
          <w:p w:rsidR="00B579FF" w:rsidRDefault="00C84770">
            <w:pPr>
              <w:rPr>
                <w:rFonts w:ascii="宋体" w:hAnsi="宋体"/>
                <w:b/>
                <w:szCs w:val="21"/>
              </w:rPr>
            </w:pPr>
            <w:r>
              <w:rPr>
                <w:rFonts w:ascii="宋体" w:hAnsi="宋体" w:hint="eastAsia"/>
                <w:b/>
                <w:szCs w:val="21"/>
              </w:rPr>
              <w:t>特殊时期安全保障</w:t>
            </w:r>
          </w:p>
        </w:tc>
        <w:tc>
          <w:tcPr>
            <w:tcW w:w="2145" w:type="dxa"/>
            <w:vAlign w:val="center"/>
          </w:tcPr>
          <w:p w:rsidR="00B579FF" w:rsidRDefault="00B579FF">
            <w:pPr>
              <w:rPr>
                <w:rFonts w:ascii="宋体" w:hAnsi="宋体"/>
                <w:sz w:val="24"/>
              </w:rPr>
            </w:pPr>
          </w:p>
        </w:tc>
        <w:tc>
          <w:tcPr>
            <w:tcW w:w="3071" w:type="dxa"/>
          </w:tcPr>
          <w:p w:rsidR="00B579FF" w:rsidRDefault="005A329D">
            <w:pPr>
              <w:spacing w:line="360" w:lineRule="auto"/>
              <w:jc w:val="center"/>
              <w:rPr>
                <w:rFonts w:ascii="宋体" w:hAnsi="宋体"/>
                <w:sz w:val="24"/>
              </w:rPr>
            </w:pPr>
            <w:r>
              <w:rPr>
                <w:rFonts w:hint="eastAsia"/>
              </w:rPr>
              <w:t>3</w:t>
            </w:r>
            <w:r w:rsidR="00C84770">
              <w:rPr>
                <w:rFonts w:hint="eastAsia"/>
              </w:rPr>
              <w:t>次</w:t>
            </w:r>
          </w:p>
        </w:tc>
      </w:tr>
      <w:tr w:rsidR="0058544B">
        <w:trPr>
          <w:trHeight w:val="692"/>
        </w:trPr>
        <w:tc>
          <w:tcPr>
            <w:tcW w:w="1015" w:type="dxa"/>
            <w:tcBorders>
              <w:bottom w:val="single" w:sz="4" w:space="0" w:color="auto"/>
            </w:tcBorders>
            <w:vAlign w:val="center"/>
          </w:tcPr>
          <w:p w:rsidR="0058544B" w:rsidRDefault="004F1804">
            <w:pPr>
              <w:rPr>
                <w:rFonts w:ascii="宋体" w:hAnsi="宋体"/>
                <w:sz w:val="24"/>
              </w:rPr>
            </w:pPr>
            <w:r>
              <w:rPr>
                <w:rFonts w:ascii="宋体" w:hAnsi="宋体" w:hint="eastAsia"/>
                <w:sz w:val="24"/>
              </w:rPr>
              <w:t>8</w:t>
            </w:r>
          </w:p>
        </w:tc>
        <w:tc>
          <w:tcPr>
            <w:tcW w:w="2354" w:type="dxa"/>
            <w:vAlign w:val="center"/>
          </w:tcPr>
          <w:p w:rsidR="0058544B" w:rsidRDefault="0058544B">
            <w:pPr>
              <w:rPr>
                <w:rFonts w:ascii="宋体" w:hAnsi="宋体"/>
                <w:b/>
                <w:szCs w:val="21"/>
              </w:rPr>
            </w:pPr>
            <w:r w:rsidRPr="0058544B">
              <w:rPr>
                <w:rFonts w:ascii="宋体" w:hAnsi="宋体" w:hint="eastAsia"/>
                <w:b/>
                <w:szCs w:val="21"/>
              </w:rPr>
              <w:t>信息安全技术支持服务</w:t>
            </w:r>
          </w:p>
        </w:tc>
        <w:tc>
          <w:tcPr>
            <w:tcW w:w="2145" w:type="dxa"/>
            <w:vAlign w:val="center"/>
          </w:tcPr>
          <w:p w:rsidR="0058544B" w:rsidRDefault="0058544B">
            <w:pPr>
              <w:rPr>
                <w:rFonts w:ascii="宋体" w:hAnsi="宋体"/>
                <w:sz w:val="24"/>
              </w:rPr>
            </w:pPr>
          </w:p>
        </w:tc>
        <w:tc>
          <w:tcPr>
            <w:tcW w:w="3071" w:type="dxa"/>
          </w:tcPr>
          <w:p w:rsidR="0058544B" w:rsidRDefault="004F1804">
            <w:pPr>
              <w:spacing w:line="360" w:lineRule="auto"/>
              <w:jc w:val="center"/>
            </w:pPr>
            <w:r>
              <w:rPr>
                <w:rFonts w:hint="eastAsia"/>
              </w:rPr>
              <w:t>1</w:t>
            </w:r>
            <w:r>
              <w:rPr>
                <w:rFonts w:hint="eastAsia"/>
              </w:rPr>
              <w:t>年</w:t>
            </w:r>
          </w:p>
        </w:tc>
      </w:tr>
      <w:tr w:rsidR="00B579FF">
        <w:trPr>
          <w:trHeight w:val="521"/>
        </w:trPr>
        <w:tc>
          <w:tcPr>
            <w:tcW w:w="1015" w:type="dxa"/>
            <w:tcBorders>
              <w:tr2bl w:val="single" w:sz="4" w:space="0" w:color="auto"/>
            </w:tcBorders>
            <w:vAlign w:val="center"/>
          </w:tcPr>
          <w:p w:rsidR="00B579FF" w:rsidRDefault="00B579FF">
            <w:pPr>
              <w:jc w:val="center"/>
              <w:rPr>
                <w:rFonts w:ascii="宋体" w:hAnsi="宋体"/>
                <w:sz w:val="24"/>
              </w:rPr>
            </w:pPr>
          </w:p>
        </w:tc>
        <w:tc>
          <w:tcPr>
            <w:tcW w:w="2354" w:type="dxa"/>
          </w:tcPr>
          <w:p w:rsidR="00B579FF" w:rsidRDefault="00C84770">
            <w:pPr>
              <w:rPr>
                <w:rFonts w:ascii="宋体" w:hAnsi="宋体"/>
                <w:sz w:val="24"/>
              </w:rPr>
            </w:pPr>
            <w:r>
              <w:rPr>
                <w:rFonts w:ascii="宋体" w:hAnsi="宋体" w:hint="eastAsia"/>
                <w:sz w:val="24"/>
              </w:rPr>
              <w:t>合   计</w:t>
            </w:r>
          </w:p>
        </w:tc>
        <w:tc>
          <w:tcPr>
            <w:tcW w:w="5216" w:type="dxa"/>
            <w:gridSpan w:val="2"/>
            <w:vAlign w:val="center"/>
          </w:tcPr>
          <w:p w:rsidR="00B579FF" w:rsidRDefault="00B579FF">
            <w:pPr>
              <w:jc w:val="center"/>
              <w:rPr>
                <w:rFonts w:ascii="宋体" w:hAnsi="宋体"/>
                <w:sz w:val="24"/>
              </w:rPr>
            </w:pPr>
          </w:p>
        </w:tc>
      </w:tr>
      <w:tr w:rsidR="00B579F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62"/>
        </w:trPr>
        <w:tc>
          <w:tcPr>
            <w:tcW w:w="8585" w:type="dxa"/>
            <w:gridSpan w:val="4"/>
            <w:tcBorders>
              <w:top w:val="single" w:sz="4" w:space="0" w:color="auto"/>
              <w:left w:val="single" w:sz="4" w:space="0" w:color="auto"/>
              <w:bottom w:val="single" w:sz="4" w:space="0" w:color="auto"/>
              <w:right w:val="single" w:sz="4" w:space="0" w:color="auto"/>
            </w:tcBorders>
            <w:vAlign w:val="center"/>
          </w:tcPr>
          <w:p w:rsidR="00B579FF" w:rsidRDefault="00C84770">
            <w:pPr>
              <w:rPr>
                <w:rFonts w:ascii="宋体" w:hAnsi="宋体" w:cs="宋体"/>
                <w:b/>
                <w:bCs/>
                <w:sz w:val="24"/>
              </w:rPr>
            </w:pPr>
            <w:r>
              <w:rPr>
                <w:rFonts w:ascii="宋体" w:hAnsi="宋体" w:cs="宋体" w:hint="eastAsia"/>
                <w:sz w:val="24"/>
              </w:rPr>
              <w:t>项目地点：</w:t>
            </w:r>
          </w:p>
          <w:p w:rsidR="00B579FF" w:rsidRDefault="00B579FF">
            <w:pPr>
              <w:rPr>
                <w:rFonts w:ascii="宋体" w:hAnsi="宋体" w:cs="宋体"/>
                <w:b/>
                <w:bCs/>
                <w:sz w:val="24"/>
              </w:rPr>
            </w:pPr>
          </w:p>
          <w:p w:rsidR="00B579FF" w:rsidRDefault="00C84770">
            <w:pPr>
              <w:rPr>
                <w:rFonts w:ascii="宋体" w:hAnsi="宋体"/>
                <w:b/>
                <w:bCs/>
                <w:sz w:val="28"/>
                <w:szCs w:val="28"/>
                <w:u w:val="single"/>
              </w:rPr>
            </w:pPr>
            <w:r>
              <w:rPr>
                <w:rFonts w:ascii="宋体" w:hAnsi="宋体" w:cs="宋体" w:hint="eastAsia"/>
                <w:b/>
                <w:bCs/>
                <w:sz w:val="24"/>
              </w:rPr>
              <w:t>报价总计：</w:t>
            </w:r>
            <w:r>
              <w:rPr>
                <w:rFonts w:ascii="宋体" w:hAnsi="宋体" w:hint="eastAsia"/>
                <w:b/>
                <w:bCs/>
                <w:sz w:val="24"/>
              </w:rPr>
              <w:t>￥</w:t>
            </w:r>
          </w:p>
          <w:p w:rsidR="00B579FF" w:rsidRDefault="00B579FF">
            <w:pPr>
              <w:rPr>
                <w:rFonts w:ascii="宋体" w:hAnsi="宋体" w:cs="宋体"/>
                <w:b/>
                <w:bCs/>
                <w:sz w:val="24"/>
              </w:rPr>
            </w:pPr>
          </w:p>
          <w:p w:rsidR="00B579FF" w:rsidRDefault="00C84770">
            <w:pPr>
              <w:rPr>
                <w:rFonts w:ascii="宋体" w:hAnsi="宋体"/>
                <w:b/>
                <w:bCs/>
                <w:sz w:val="24"/>
                <w:u w:val="single"/>
              </w:rPr>
            </w:pPr>
            <w:r>
              <w:rPr>
                <w:rFonts w:ascii="宋体" w:hAnsi="宋体" w:hint="eastAsia"/>
                <w:b/>
                <w:bCs/>
                <w:sz w:val="24"/>
              </w:rPr>
              <w:t>人民币（大写）</w:t>
            </w:r>
          </w:p>
        </w:tc>
      </w:tr>
    </w:tbl>
    <w:p w:rsidR="00B579FF" w:rsidRDefault="00B579FF">
      <w:pPr>
        <w:topLinePunct/>
        <w:snapToGrid w:val="0"/>
        <w:spacing w:before="4" w:line="360" w:lineRule="auto"/>
        <w:rPr>
          <w:rFonts w:ascii="宋体" w:hAnsi="宋体"/>
          <w:sz w:val="30"/>
          <w:szCs w:val="30"/>
        </w:rPr>
      </w:pPr>
    </w:p>
    <w:p w:rsidR="00B579FF" w:rsidRDefault="00B579FF">
      <w:pPr>
        <w:topLinePunct/>
        <w:snapToGrid w:val="0"/>
        <w:spacing w:before="4" w:line="360" w:lineRule="auto"/>
        <w:rPr>
          <w:rFonts w:ascii="宋体" w:hAnsi="宋体"/>
          <w:b/>
          <w:bCs/>
          <w:sz w:val="28"/>
          <w:szCs w:val="28"/>
        </w:rPr>
      </w:pPr>
    </w:p>
    <w:p w:rsidR="00B579FF" w:rsidRDefault="00C84770">
      <w:pPr>
        <w:topLinePunct/>
        <w:snapToGrid w:val="0"/>
        <w:spacing w:before="4" w:line="360" w:lineRule="auto"/>
        <w:rPr>
          <w:rFonts w:ascii="宋体" w:hAnsi="宋体"/>
          <w:b/>
          <w:bCs/>
          <w:sz w:val="28"/>
          <w:szCs w:val="28"/>
          <w:u w:val="single"/>
        </w:rPr>
      </w:pPr>
      <w:r>
        <w:rPr>
          <w:rFonts w:ascii="宋体" w:hAnsi="宋体" w:hint="eastAsia"/>
          <w:b/>
          <w:bCs/>
          <w:sz w:val="28"/>
          <w:szCs w:val="28"/>
        </w:rPr>
        <w:t>供应商名称（公章 ）：</w:t>
      </w:r>
    </w:p>
    <w:p w:rsidR="00B579FF" w:rsidRDefault="00B579FF">
      <w:pPr>
        <w:topLinePunct/>
        <w:snapToGrid w:val="0"/>
        <w:spacing w:before="4" w:line="360" w:lineRule="auto"/>
        <w:rPr>
          <w:rFonts w:ascii="宋体" w:hAnsi="宋体"/>
          <w:b/>
          <w:bCs/>
          <w:sz w:val="28"/>
          <w:szCs w:val="28"/>
        </w:rPr>
      </w:pPr>
    </w:p>
    <w:p w:rsidR="00B579FF" w:rsidRDefault="00C84770">
      <w:pPr>
        <w:topLinePunct/>
        <w:snapToGrid w:val="0"/>
        <w:spacing w:before="4" w:line="360" w:lineRule="auto"/>
        <w:rPr>
          <w:rFonts w:ascii="宋体" w:hAnsi="宋体"/>
          <w:b/>
          <w:bCs/>
          <w:sz w:val="28"/>
          <w:szCs w:val="28"/>
        </w:rPr>
      </w:pPr>
      <w:r>
        <w:rPr>
          <w:rFonts w:ascii="宋体" w:hAnsi="宋体" w:hint="eastAsia"/>
          <w:b/>
          <w:bCs/>
          <w:sz w:val="28"/>
          <w:szCs w:val="28"/>
        </w:rPr>
        <w:t>法定代表人或被授权人（签字）</w:t>
      </w:r>
    </w:p>
    <w:p w:rsidR="00B579FF" w:rsidRDefault="00C84770">
      <w:pPr>
        <w:tabs>
          <w:tab w:val="left" w:pos="360"/>
        </w:tabs>
        <w:snapToGrid w:val="0"/>
        <w:spacing w:before="67" w:line="360" w:lineRule="auto"/>
        <w:ind w:leftChars="215" w:left="864" w:right="-360" w:hangingChars="147" w:hanging="413"/>
        <w:rPr>
          <w:rFonts w:ascii="宋体" w:hAnsi="宋体"/>
          <w:bCs/>
          <w:sz w:val="28"/>
          <w:szCs w:val="28"/>
        </w:rPr>
      </w:pPr>
      <w:r>
        <w:rPr>
          <w:rFonts w:ascii="宋体" w:hAnsi="宋体" w:hint="eastAsia"/>
          <w:b/>
          <w:bCs/>
          <w:sz w:val="28"/>
          <w:szCs w:val="28"/>
        </w:rPr>
        <w:t>注:</w:t>
      </w:r>
      <w:r>
        <w:rPr>
          <w:rFonts w:ascii="宋体" w:hAnsi="宋体" w:hint="eastAsia"/>
          <w:bCs/>
          <w:sz w:val="28"/>
          <w:szCs w:val="28"/>
        </w:rPr>
        <w:t xml:space="preserve">①报价应包括需求文件所规定的采购范围的全部内容；      </w:t>
      </w:r>
    </w:p>
    <w:p w:rsidR="00B579FF" w:rsidRDefault="00C84770" w:rsidP="00B579FF">
      <w:pPr>
        <w:tabs>
          <w:tab w:val="left" w:pos="360"/>
        </w:tabs>
        <w:snapToGrid w:val="0"/>
        <w:spacing w:before="67" w:line="360" w:lineRule="auto"/>
        <w:ind w:leftChars="215" w:left="863" w:right="-360" w:hangingChars="147" w:hanging="412"/>
      </w:pPr>
      <w:r>
        <w:rPr>
          <w:rFonts w:ascii="宋体" w:hAnsi="宋体" w:hint="eastAsia"/>
          <w:bCs/>
          <w:sz w:val="28"/>
          <w:szCs w:val="28"/>
        </w:rPr>
        <w:tab/>
        <w:t xml:space="preserve">② </w:t>
      </w:r>
      <w:r>
        <w:rPr>
          <w:rFonts w:ascii="宋体" w:hAnsi="宋体" w:hint="eastAsia"/>
          <w:sz w:val="28"/>
          <w:szCs w:val="28"/>
        </w:rPr>
        <w:t>报价总计包括一切相关费用。</w:t>
      </w:r>
    </w:p>
    <w:sectPr w:rsidR="00B579FF" w:rsidSect="00B579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98" w:rsidRDefault="002E7B98" w:rsidP="005E183C">
      <w:r>
        <w:separator/>
      </w:r>
    </w:p>
  </w:endnote>
  <w:endnote w:type="continuationSeparator" w:id="0">
    <w:p w:rsidR="002E7B98" w:rsidRDefault="002E7B98" w:rsidP="005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98" w:rsidRDefault="002E7B98" w:rsidP="005E183C">
      <w:r>
        <w:separator/>
      </w:r>
    </w:p>
  </w:footnote>
  <w:footnote w:type="continuationSeparator" w:id="0">
    <w:p w:rsidR="002E7B98" w:rsidRDefault="002E7B98" w:rsidP="005E1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538EF"/>
    <w:multiLevelType w:val="singleLevel"/>
    <w:tmpl w:val="898538EF"/>
    <w:lvl w:ilvl="0">
      <w:start w:val="1"/>
      <w:numFmt w:val="decimal"/>
      <w:suff w:val="nothing"/>
      <w:lvlText w:val="%1、"/>
      <w:lvlJc w:val="left"/>
    </w:lvl>
  </w:abstractNum>
  <w:abstractNum w:abstractNumId="1">
    <w:nsid w:val="31608FEC"/>
    <w:multiLevelType w:val="singleLevel"/>
    <w:tmpl w:val="31608FEC"/>
    <w:lvl w:ilvl="0">
      <w:start w:val="1"/>
      <w:numFmt w:val="decimal"/>
      <w:suff w:val="nothing"/>
      <w:lvlText w:val="%1、"/>
      <w:lvlJc w:val="left"/>
    </w:lvl>
  </w:abstractNum>
  <w:abstractNum w:abstractNumId="2">
    <w:nsid w:val="52169B82"/>
    <w:multiLevelType w:val="singleLevel"/>
    <w:tmpl w:val="52169B82"/>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2B58"/>
    <w:rsid w:val="00007A15"/>
    <w:rsid w:val="00030494"/>
    <w:rsid w:val="000708D7"/>
    <w:rsid w:val="0009187A"/>
    <w:rsid w:val="000932E1"/>
    <w:rsid w:val="000A4A99"/>
    <w:rsid w:val="000A4D54"/>
    <w:rsid w:val="000E1F57"/>
    <w:rsid w:val="00143565"/>
    <w:rsid w:val="001927E9"/>
    <w:rsid w:val="00197286"/>
    <w:rsid w:val="001D0EAD"/>
    <w:rsid w:val="001E051F"/>
    <w:rsid w:val="002179D6"/>
    <w:rsid w:val="0027532B"/>
    <w:rsid w:val="002B0E0D"/>
    <w:rsid w:val="002B6C0C"/>
    <w:rsid w:val="002D2561"/>
    <w:rsid w:val="002E7B98"/>
    <w:rsid w:val="003471A8"/>
    <w:rsid w:val="00365BD0"/>
    <w:rsid w:val="0036640C"/>
    <w:rsid w:val="003B1531"/>
    <w:rsid w:val="003C2086"/>
    <w:rsid w:val="003D51A8"/>
    <w:rsid w:val="0045179B"/>
    <w:rsid w:val="00451FB2"/>
    <w:rsid w:val="0046765F"/>
    <w:rsid w:val="00482E9B"/>
    <w:rsid w:val="00493D13"/>
    <w:rsid w:val="004F1804"/>
    <w:rsid w:val="00503271"/>
    <w:rsid w:val="00512EDE"/>
    <w:rsid w:val="00544353"/>
    <w:rsid w:val="00575110"/>
    <w:rsid w:val="0058544B"/>
    <w:rsid w:val="005A012B"/>
    <w:rsid w:val="005A329D"/>
    <w:rsid w:val="005E183C"/>
    <w:rsid w:val="00636F00"/>
    <w:rsid w:val="006429AA"/>
    <w:rsid w:val="006611D8"/>
    <w:rsid w:val="00665005"/>
    <w:rsid w:val="00683999"/>
    <w:rsid w:val="0069374A"/>
    <w:rsid w:val="006A7674"/>
    <w:rsid w:val="007533D0"/>
    <w:rsid w:val="007A33C0"/>
    <w:rsid w:val="007D6C80"/>
    <w:rsid w:val="008215AA"/>
    <w:rsid w:val="008406DD"/>
    <w:rsid w:val="00860740"/>
    <w:rsid w:val="00876908"/>
    <w:rsid w:val="00881401"/>
    <w:rsid w:val="008A02E6"/>
    <w:rsid w:val="008A3746"/>
    <w:rsid w:val="008E533C"/>
    <w:rsid w:val="00904A74"/>
    <w:rsid w:val="009326A0"/>
    <w:rsid w:val="00963779"/>
    <w:rsid w:val="00986F7B"/>
    <w:rsid w:val="009A0ED4"/>
    <w:rsid w:val="009D105B"/>
    <w:rsid w:val="00A3172D"/>
    <w:rsid w:val="00A32A52"/>
    <w:rsid w:val="00A4331F"/>
    <w:rsid w:val="00A51773"/>
    <w:rsid w:val="00A754F4"/>
    <w:rsid w:val="00A75A8E"/>
    <w:rsid w:val="00A75A9C"/>
    <w:rsid w:val="00AC06D1"/>
    <w:rsid w:val="00AC6C41"/>
    <w:rsid w:val="00AE29A3"/>
    <w:rsid w:val="00B34B49"/>
    <w:rsid w:val="00B501CC"/>
    <w:rsid w:val="00B525F1"/>
    <w:rsid w:val="00B56249"/>
    <w:rsid w:val="00B579FF"/>
    <w:rsid w:val="00B6275D"/>
    <w:rsid w:val="00B92301"/>
    <w:rsid w:val="00BC5465"/>
    <w:rsid w:val="00BD3AB4"/>
    <w:rsid w:val="00C24BD4"/>
    <w:rsid w:val="00C34952"/>
    <w:rsid w:val="00C36B65"/>
    <w:rsid w:val="00C60489"/>
    <w:rsid w:val="00C77A3E"/>
    <w:rsid w:val="00C84770"/>
    <w:rsid w:val="00D14641"/>
    <w:rsid w:val="00D17C9F"/>
    <w:rsid w:val="00D26124"/>
    <w:rsid w:val="00D4428A"/>
    <w:rsid w:val="00D51BCA"/>
    <w:rsid w:val="00D650C2"/>
    <w:rsid w:val="00D87161"/>
    <w:rsid w:val="00D9207A"/>
    <w:rsid w:val="00D94CA9"/>
    <w:rsid w:val="00DA5B72"/>
    <w:rsid w:val="00DC070E"/>
    <w:rsid w:val="00DD115D"/>
    <w:rsid w:val="00E04873"/>
    <w:rsid w:val="00E0644F"/>
    <w:rsid w:val="00E26605"/>
    <w:rsid w:val="00E56F97"/>
    <w:rsid w:val="00F04B65"/>
    <w:rsid w:val="00F34092"/>
    <w:rsid w:val="00F84F63"/>
    <w:rsid w:val="00F928FE"/>
    <w:rsid w:val="00F94A2E"/>
    <w:rsid w:val="48BE6707"/>
    <w:rsid w:val="767D4DC8"/>
    <w:rsid w:val="7ED62B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FF"/>
    <w:pPr>
      <w:widowControl w:val="0"/>
      <w:jc w:val="both"/>
    </w:pPr>
    <w:rPr>
      <w:kern w:val="2"/>
      <w:sz w:val="21"/>
    </w:rPr>
  </w:style>
  <w:style w:type="paragraph" w:styleId="2">
    <w:name w:val="heading 2"/>
    <w:basedOn w:val="a"/>
    <w:next w:val="a"/>
    <w:link w:val="2Char"/>
    <w:uiPriority w:val="9"/>
    <w:semiHidden/>
    <w:unhideWhenUsed/>
    <w:qFormat/>
    <w:rsid w:val="00B579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B579FF"/>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579FF"/>
    <w:pPr>
      <w:spacing w:after="120"/>
    </w:pPr>
  </w:style>
  <w:style w:type="paragraph" w:styleId="a4">
    <w:name w:val="footer"/>
    <w:basedOn w:val="a"/>
    <w:link w:val="Char"/>
    <w:rsid w:val="00B579FF"/>
    <w:pPr>
      <w:tabs>
        <w:tab w:val="center" w:pos="4153"/>
        <w:tab w:val="right" w:pos="8306"/>
      </w:tabs>
      <w:snapToGrid w:val="0"/>
      <w:jc w:val="left"/>
    </w:pPr>
    <w:rPr>
      <w:sz w:val="18"/>
      <w:szCs w:val="18"/>
    </w:rPr>
  </w:style>
  <w:style w:type="paragraph" w:styleId="a5">
    <w:name w:val="header"/>
    <w:basedOn w:val="a"/>
    <w:link w:val="Char0"/>
    <w:rsid w:val="00B579F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579FF"/>
    <w:pPr>
      <w:spacing w:beforeAutospacing="1" w:afterAutospacing="1"/>
      <w:jc w:val="left"/>
    </w:pPr>
    <w:rPr>
      <w:kern w:val="0"/>
      <w:sz w:val="24"/>
    </w:rPr>
  </w:style>
  <w:style w:type="table" w:styleId="a7">
    <w:name w:val="Table Grid"/>
    <w:basedOn w:val="a1"/>
    <w:qFormat/>
    <w:rsid w:val="00B57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qFormat/>
    <w:rsid w:val="00B579FF"/>
    <w:rPr>
      <w:color w:val="0000FF"/>
      <w:u w:val="single"/>
    </w:rPr>
  </w:style>
  <w:style w:type="paragraph" w:customStyle="1" w:styleId="A9">
    <w:name w:val="正文 A"/>
    <w:qFormat/>
    <w:rsid w:val="00B579FF"/>
    <w:pPr>
      <w:widowControl w:val="0"/>
      <w:jc w:val="both"/>
    </w:pPr>
    <w:rPr>
      <w:rFonts w:ascii="Calibri" w:eastAsia="Times New Roman" w:hAnsi="Calibri"/>
      <w:color w:val="000000"/>
      <w:kern w:val="2"/>
      <w:sz w:val="21"/>
      <w:szCs w:val="21"/>
      <w:u w:color="000000"/>
    </w:rPr>
  </w:style>
  <w:style w:type="character" w:customStyle="1" w:styleId="Char0">
    <w:name w:val="页眉 Char"/>
    <w:basedOn w:val="a0"/>
    <w:link w:val="a5"/>
    <w:qFormat/>
    <w:rsid w:val="00B579FF"/>
    <w:rPr>
      <w:kern w:val="2"/>
      <w:sz w:val="18"/>
      <w:szCs w:val="18"/>
    </w:rPr>
  </w:style>
  <w:style w:type="character" w:customStyle="1" w:styleId="Char">
    <w:name w:val="页脚 Char"/>
    <w:basedOn w:val="a0"/>
    <w:link w:val="a4"/>
    <w:rsid w:val="00B579FF"/>
    <w:rPr>
      <w:kern w:val="2"/>
      <w:sz w:val="18"/>
      <w:szCs w:val="18"/>
    </w:rPr>
  </w:style>
  <w:style w:type="paragraph" w:styleId="aa">
    <w:name w:val="List Paragraph"/>
    <w:basedOn w:val="a"/>
    <w:uiPriority w:val="99"/>
    <w:unhideWhenUsed/>
    <w:qFormat/>
    <w:rsid w:val="00B579FF"/>
    <w:pPr>
      <w:ind w:firstLineChars="200" w:firstLine="420"/>
    </w:pPr>
  </w:style>
  <w:style w:type="character" w:customStyle="1" w:styleId="2Char">
    <w:name w:val="标题 2 Char"/>
    <w:basedOn w:val="a0"/>
    <w:link w:val="2"/>
    <w:uiPriority w:val="9"/>
    <w:semiHidden/>
    <w:qFormat/>
    <w:rsid w:val="00B579FF"/>
    <w:rPr>
      <w:rFonts w:asciiTheme="majorHAnsi" w:eastAsiaTheme="majorEastAsia" w:hAnsiTheme="majorHAnsi" w:cstheme="majorBidi"/>
      <w:b/>
      <w:bCs/>
      <w:kern w:val="2"/>
      <w:sz w:val="32"/>
      <w:szCs w:val="32"/>
    </w:rPr>
  </w:style>
  <w:style w:type="character" w:customStyle="1" w:styleId="font21">
    <w:name w:val="font21"/>
    <w:basedOn w:val="a0"/>
    <w:qFormat/>
    <w:rsid w:val="00B579FF"/>
    <w:rPr>
      <w:rFonts w:ascii="宋体" w:eastAsia="宋体" w:hAnsi="宋体" w:cs="宋体" w:hint="eastAsia"/>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FF"/>
    <w:pPr>
      <w:widowControl w:val="0"/>
      <w:jc w:val="both"/>
    </w:pPr>
    <w:rPr>
      <w:kern w:val="2"/>
      <w:sz w:val="21"/>
    </w:rPr>
  </w:style>
  <w:style w:type="paragraph" w:styleId="2">
    <w:name w:val="heading 2"/>
    <w:basedOn w:val="a"/>
    <w:next w:val="a"/>
    <w:link w:val="2Char"/>
    <w:uiPriority w:val="9"/>
    <w:semiHidden/>
    <w:unhideWhenUsed/>
    <w:qFormat/>
    <w:rsid w:val="00B579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B579FF"/>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579FF"/>
    <w:pPr>
      <w:spacing w:after="120"/>
    </w:pPr>
  </w:style>
  <w:style w:type="paragraph" w:styleId="a4">
    <w:name w:val="footer"/>
    <w:basedOn w:val="a"/>
    <w:link w:val="Char"/>
    <w:rsid w:val="00B579FF"/>
    <w:pPr>
      <w:tabs>
        <w:tab w:val="center" w:pos="4153"/>
        <w:tab w:val="right" w:pos="8306"/>
      </w:tabs>
      <w:snapToGrid w:val="0"/>
      <w:jc w:val="left"/>
    </w:pPr>
    <w:rPr>
      <w:sz w:val="18"/>
      <w:szCs w:val="18"/>
    </w:rPr>
  </w:style>
  <w:style w:type="paragraph" w:styleId="a5">
    <w:name w:val="header"/>
    <w:basedOn w:val="a"/>
    <w:link w:val="Char0"/>
    <w:rsid w:val="00B579F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579FF"/>
    <w:pPr>
      <w:spacing w:beforeAutospacing="1" w:afterAutospacing="1"/>
      <w:jc w:val="left"/>
    </w:pPr>
    <w:rPr>
      <w:kern w:val="0"/>
      <w:sz w:val="24"/>
    </w:rPr>
  </w:style>
  <w:style w:type="table" w:styleId="a7">
    <w:name w:val="Table Grid"/>
    <w:basedOn w:val="a1"/>
    <w:qFormat/>
    <w:rsid w:val="00B57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qFormat/>
    <w:rsid w:val="00B579FF"/>
    <w:rPr>
      <w:color w:val="0000FF"/>
      <w:u w:val="single"/>
    </w:rPr>
  </w:style>
  <w:style w:type="paragraph" w:customStyle="1" w:styleId="A9">
    <w:name w:val="正文 A"/>
    <w:qFormat/>
    <w:rsid w:val="00B579FF"/>
    <w:pPr>
      <w:widowControl w:val="0"/>
      <w:jc w:val="both"/>
    </w:pPr>
    <w:rPr>
      <w:rFonts w:ascii="Calibri" w:eastAsia="Times New Roman" w:hAnsi="Calibri"/>
      <w:color w:val="000000"/>
      <w:kern w:val="2"/>
      <w:sz w:val="21"/>
      <w:szCs w:val="21"/>
      <w:u w:color="000000"/>
    </w:rPr>
  </w:style>
  <w:style w:type="character" w:customStyle="1" w:styleId="Char0">
    <w:name w:val="页眉 Char"/>
    <w:basedOn w:val="a0"/>
    <w:link w:val="a5"/>
    <w:qFormat/>
    <w:rsid w:val="00B579FF"/>
    <w:rPr>
      <w:kern w:val="2"/>
      <w:sz w:val="18"/>
      <w:szCs w:val="18"/>
    </w:rPr>
  </w:style>
  <w:style w:type="character" w:customStyle="1" w:styleId="Char">
    <w:name w:val="页脚 Char"/>
    <w:basedOn w:val="a0"/>
    <w:link w:val="a4"/>
    <w:rsid w:val="00B579FF"/>
    <w:rPr>
      <w:kern w:val="2"/>
      <w:sz w:val="18"/>
      <w:szCs w:val="18"/>
    </w:rPr>
  </w:style>
  <w:style w:type="paragraph" w:styleId="aa">
    <w:name w:val="List Paragraph"/>
    <w:basedOn w:val="a"/>
    <w:uiPriority w:val="99"/>
    <w:unhideWhenUsed/>
    <w:qFormat/>
    <w:rsid w:val="00B579FF"/>
    <w:pPr>
      <w:ind w:firstLineChars="200" w:firstLine="420"/>
    </w:pPr>
  </w:style>
  <w:style w:type="character" w:customStyle="1" w:styleId="2Char">
    <w:name w:val="标题 2 Char"/>
    <w:basedOn w:val="a0"/>
    <w:link w:val="2"/>
    <w:uiPriority w:val="9"/>
    <w:semiHidden/>
    <w:qFormat/>
    <w:rsid w:val="00B579FF"/>
    <w:rPr>
      <w:rFonts w:asciiTheme="majorHAnsi" w:eastAsiaTheme="majorEastAsia" w:hAnsiTheme="majorHAnsi" w:cstheme="majorBidi"/>
      <w:b/>
      <w:bCs/>
      <w:kern w:val="2"/>
      <w:sz w:val="32"/>
      <w:szCs w:val="32"/>
    </w:rPr>
  </w:style>
  <w:style w:type="character" w:customStyle="1" w:styleId="font21">
    <w:name w:val="font21"/>
    <w:basedOn w:val="a0"/>
    <w:qFormat/>
    <w:rsid w:val="00B579FF"/>
    <w:rPr>
      <w:rFonts w:ascii="宋体" w:eastAsia="宋体" w:hAnsi="宋体" w:cs="宋体"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300</Words>
  <Characters>1711</Characters>
  <Application>Microsoft Office Word</Application>
  <DocSecurity>0</DocSecurity>
  <Lines>14</Lines>
  <Paragraphs>4</Paragraphs>
  <ScaleCrop>false</ScaleCrop>
  <Company>P R C</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罗鹏</dc:creator>
  <cp:lastModifiedBy>吉训益</cp:lastModifiedBy>
  <cp:revision>2</cp:revision>
  <dcterms:created xsi:type="dcterms:W3CDTF">2022-11-16T08:22:00Z</dcterms:created>
  <dcterms:modified xsi:type="dcterms:W3CDTF">2022-11-16T08:22:00Z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6139D29290A7430DAA4F85BB9C98F02B</vt:lpwstr>
  </property>
</Properties>
</file>